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306" w:rsidRDefault="00582308">
      <w:pPr>
        <w:spacing w:line="276" w:lineRule="auto"/>
        <w:jc w:val="both"/>
        <w:rPr>
          <w:rFonts w:ascii="Arial" w:hAnsi="Arial" w:cs="Arial"/>
          <w:b/>
          <w:bCs/>
          <w:lang w:eastAsia="hr-HR"/>
        </w:rPr>
      </w:pPr>
      <w:bookmarkStart w:id="0" w:name="_GoBack"/>
      <w:bookmarkEnd w:id="0"/>
      <w:r>
        <w:rPr>
          <w:rFonts w:ascii="Arial" w:hAnsi="Arial" w:cs="Arial"/>
          <w:b/>
          <w:bCs/>
          <w:lang w:eastAsia="hr-HR"/>
        </w:rPr>
        <w:t xml:space="preserve">OSNOVNA ŠKOLA </w:t>
      </w:r>
      <w:r>
        <w:rPr>
          <w:rFonts w:ascii="Arial" w:hAnsi="Arial" w:cs="Arial"/>
          <w:b/>
          <w:bCs/>
          <w:lang w:val="en-US" w:eastAsia="hr-HR"/>
        </w:rPr>
        <w:t>JURE FILIPOVIĆA BARBAN</w:t>
      </w:r>
    </w:p>
    <w:p w:rsidR="00F67306" w:rsidRDefault="00582308">
      <w:pPr>
        <w:spacing w:line="276" w:lineRule="auto"/>
        <w:jc w:val="both"/>
        <w:rPr>
          <w:rFonts w:ascii="Arial" w:hAnsi="Arial" w:cs="Arial"/>
          <w:b/>
          <w:bCs/>
          <w:lang w:val="en-US" w:eastAsia="hr-HR"/>
        </w:rPr>
      </w:pPr>
      <w:r>
        <w:rPr>
          <w:rFonts w:ascii="Arial" w:hAnsi="Arial" w:cs="Arial"/>
          <w:b/>
          <w:bCs/>
          <w:lang w:val="en-US" w:eastAsia="hr-HR"/>
        </w:rPr>
        <w:t>BARBAN 150</w:t>
      </w:r>
    </w:p>
    <w:p w:rsidR="00F67306" w:rsidRDefault="00582308">
      <w:pPr>
        <w:spacing w:line="276" w:lineRule="auto"/>
        <w:jc w:val="both"/>
        <w:rPr>
          <w:rFonts w:ascii="Arial" w:hAnsi="Arial" w:cs="Arial"/>
          <w:b/>
          <w:bCs/>
          <w:lang w:val="en-US" w:eastAsia="hr-HR"/>
        </w:rPr>
      </w:pPr>
      <w:r>
        <w:rPr>
          <w:rFonts w:ascii="Arial" w:hAnsi="Arial" w:cs="Arial"/>
          <w:b/>
          <w:bCs/>
          <w:lang w:val="en-US" w:eastAsia="hr-HR"/>
        </w:rPr>
        <w:t>52207 BARBAN</w:t>
      </w:r>
    </w:p>
    <w:p w:rsidR="00F67306" w:rsidRDefault="00582308">
      <w:pPr>
        <w:spacing w:line="276" w:lineRule="auto"/>
        <w:jc w:val="both"/>
        <w:rPr>
          <w:rFonts w:ascii="Arial" w:hAnsi="Arial" w:cs="Arial"/>
          <w:b/>
          <w:bCs/>
          <w:lang w:val="en-US" w:eastAsia="hr-HR"/>
        </w:rPr>
      </w:pPr>
      <w:r>
        <w:rPr>
          <w:rFonts w:ascii="Arial" w:hAnsi="Arial" w:cs="Arial"/>
          <w:b/>
          <w:bCs/>
          <w:lang w:eastAsia="hr-HR"/>
        </w:rPr>
        <w:t>e-mail:</w:t>
      </w:r>
      <w:r>
        <w:rPr>
          <w:rFonts w:ascii="Arial" w:hAnsi="Arial" w:cs="Arial"/>
          <w:b/>
          <w:bCs/>
          <w:lang w:val="en-US" w:eastAsia="hr-HR"/>
        </w:rPr>
        <w:t>ured@os-barban.skole.hr</w:t>
      </w:r>
    </w:p>
    <w:p w:rsidR="00F67306" w:rsidRDefault="00F67306">
      <w:pPr>
        <w:spacing w:line="276" w:lineRule="auto"/>
        <w:jc w:val="both"/>
        <w:rPr>
          <w:rFonts w:ascii="Arial" w:hAnsi="Arial" w:cs="Arial"/>
          <w:b/>
          <w:bCs/>
          <w:lang w:eastAsia="hr-HR"/>
        </w:rPr>
      </w:pPr>
    </w:p>
    <w:p w:rsidR="00F67306" w:rsidRDefault="00582308">
      <w:pPr>
        <w:rPr>
          <w:rFonts w:ascii="Arial" w:eastAsia="Times New Roman" w:hAnsi="Arial" w:cs="Arial"/>
          <w:szCs w:val="20"/>
          <w:lang w:val="en-US" w:eastAsia="hr-HR"/>
        </w:rPr>
      </w:pPr>
      <w:r>
        <w:rPr>
          <w:rFonts w:ascii="Arial" w:eastAsia="Times New Roman" w:hAnsi="Arial" w:cs="Arial"/>
          <w:szCs w:val="20"/>
          <w:lang w:eastAsia="hr-HR"/>
        </w:rPr>
        <w:t>KLASA: 400-0</w:t>
      </w:r>
      <w:r>
        <w:rPr>
          <w:rFonts w:ascii="Arial" w:eastAsia="Times New Roman" w:hAnsi="Arial" w:cs="Arial"/>
          <w:szCs w:val="20"/>
          <w:lang w:val="en-US" w:eastAsia="hr-HR"/>
        </w:rPr>
        <w:t>1</w:t>
      </w:r>
      <w:r>
        <w:rPr>
          <w:rFonts w:ascii="Arial" w:eastAsia="Times New Roman" w:hAnsi="Arial" w:cs="Arial"/>
          <w:szCs w:val="20"/>
          <w:lang w:eastAsia="hr-HR"/>
        </w:rPr>
        <w:t>/2</w:t>
      </w:r>
      <w:r>
        <w:rPr>
          <w:rFonts w:ascii="Arial" w:eastAsia="Times New Roman" w:hAnsi="Arial" w:cs="Arial"/>
          <w:szCs w:val="20"/>
          <w:lang w:val="en-US" w:eastAsia="hr-HR"/>
        </w:rPr>
        <w:t>6</w:t>
      </w:r>
      <w:r>
        <w:rPr>
          <w:rFonts w:ascii="Arial" w:eastAsia="Times New Roman" w:hAnsi="Arial" w:cs="Arial"/>
          <w:szCs w:val="20"/>
          <w:lang w:eastAsia="hr-HR"/>
        </w:rPr>
        <w:t>-01/</w:t>
      </w:r>
      <w:r>
        <w:rPr>
          <w:rFonts w:ascii="Arial" w:eastAsia="Times New Roman" w:hAnsi="Arial" w:cs="Arial"/>
          <w:szCs w:val="20"/>
          <w:lang w:val="en-US" w:eastAsia="hr-HR"/>
        </w:rPr>
        <w:t>02</w:t>
      </w:r>
    </w:p>
    <w:p w:rsidR="00F67306" w:rsidRDefault="00582308">
      <w:pPr>
        <w:rPr>
          <w:rFonts w:ascii="Arial" w:eastAsia="Times New Roman" w:hAnsi="Arial" w:cs="Arial"/>
          <w:color w:val="FF0000"/>
          <w:szCs w:val="20"/>
          <w:lang w:val="en-US" w:eastAsia="hr-HR"/>
        </w:rPr>
      </w:pPr>
      <w:r>
        <w:rPr>
          <w:rFonts w:ascii="Arial" w:eastAsia="Times New Roman" w:hAnsi="Arial" w:cs="Arial"/>
          <w:szCs w:val="20"/>
          <w:lang w:eastAsia="hr-HR"/>
        </w:rPr>
        <w:t>URBROJ:2168-</w:t>
      </w:r>
      <w:r>
        <w:rPr>
          <w:rFonts w:ascii="Arial" w:eastAsia="Times New Roman" w:hAnsi="Arial" w:cs="Arial"/>
          <w:szCs w:val="20"/>
          <w:lang w:val="en-US" w:eastAsia="hr-HR"/>
        </w:rPr>
        <w:t>3</w:t>
      </w:r>
      <w:r>
        <w:rPr>
          <w:rFonts w:ascii="Arial" w:eastAsia="Times New Roman" w:hAnsi="Arial" w:cs="Arial"/>
          <w:szCs w:val="20"/>
          <w:lang w:eastAsia="hr-HR"/>
        </w:rPr>
        <w:t>-01/1-2</w:t>
      </w:r>
      <w:r>
        <w:rPr>
          <w:rFonts w:ascii="Arial" w:eastAsia="Times New Roman" w:hAnsi="Arial" w:cs="Arial"/>
          <w:szCs w:val="20"/>
          <w:lang w:val="en-US" w:eastAsia="hr-HR"/>
        </w:rPr>
        <w:t>6</w:t>
      </w:r>
      <w:r>
        <w:rPr>
          <w:rFonts w:ascii="Arial" w:eastAsia="Times New Roman" w:hAnsi="Arial" w:cs="Arial"/>
          <w:szCs w:val="20"/>
          <w:lang w:eastAsia="hr-HR"/>
        </w:rPr>
        <w:t>-</w:t>
      </w:r>
      <w:r>
        <w:rPr>
          <w:rFonts w:ascii="Arial" w:eastAsia="Times New Roman" w:hAnsi="Arial" w:cs="Arial"/>
          <w:szCs w:val="20"/>
          <w:lang w:val="en-US" w:eastAsia="hr-HR"/>
        </w:rPr>
        <w:t>1</w:t>
      </w:r>
    </w:p>
    <w:p w:rsidR="00F67306" w:rsidRDefault="00F67306">
      <w:pPr>
        <w:spacing w:line="276" w:lineRule="auto"/>
        <w:jc w:val="both"/>
        <w:rPr>
          <w:rFonts w:ascii="Arial" w:hAnsi="Arial" w:cs="Arial"/>
          <w:bCs/>
          <w:lang w:eastAsia="hr-HR"/>
        </w:rPr>
      </w:pPr>
    </w:p>
    <w:p w:rsidR="00F67306" w:rsidRDefault="00F67306">
      <w:pPr>
        <w:spacing w:line="276" w:lineRule="auto"/>
        <w:jc w:val="both"/>
        <w:rPr>
          <w:rFonts w:ascii="Arial" w:hAnsi="Arial" w:cs="Arial"/>
          <w:bCs/>
          <w:lang w:eastAsia="hr-HR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  <w:bCs/>
          <w:color w:val="000000" w:themeColor="text1"/>
          <w:lang w:eastAsia="hr-HR"/>
        </w:rPr>
      </w:pPr>
      <w:r>
        <w:rPr>
          <w:rFonts w:ascii="Arial" w:hAnsi="Arial" w:cs="Arial"/>
          <w:bCs/>
          <w:lang w:val="en-US" w:eastAsia="hr-HR"/>
        </w:rPr>
        <w:t>Barban, 16.</w:t>
      </w:r>
      <w:r>
        <w:rPr>
          <w:rFonts w:ascii="Arial" w:hAnsi="Arial" w:cs="Arial"/>
          <w:bCs/>
          <w:color w:val="000000" w:themeColor="text1"/>
          <w:lang w:eastAsia="hr-HR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lang w:val="en-US" w:eastAsia="hr-HR"/>
        </w:rPr>
        <w:t>ožujka</w:t>
      </w:r>
      <w:proofErr w:type="spellEnd"/>
      <w:r>
        <w:rPr>
          <w:rFonts w:ascii="Arial" w:hAnsi="Arial" w:cs="Arial"/>
          <w:bCs/>
          <w:color w:val="000000" w:themeColor="text1"/>
          <w:lang w:eastAsia="hr-HR"/>
        </w:rPr>
        <w:t xml:space="preserve"> 202</w:t>
      </w:r>
      <w:r>
        <w:rPr>
          <w:rFonts w:ascii="Arial" w:hAnsi="Arial" w:cs="Arial"/>
          <w:bCs/>
          <w:color w:val="000000" w:themeColor="text1"/>
          <w:lang w:val="en-US" w:eastAsia="hr-HR"/>
        </w:rPr>
        <w:t>6</w:t>
      </w:r>
      <w:r>
        <w:rPr>
          <w:rFonts w:ascii="Arial" w:hAnsi="Arial" w:cs="Arial"/>
          <w:bCs/>
          <w:color w:val="000000" w:themeColor="text1"/>
          <w:lang w:eastAsia="hr-HR"/>
        </w:rPr>
        <w:t>.</w:t>
      </w:r>
    </w:p>
    <w:p w:rsidR="00F67306" w:rsidRDefault="00F67306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F67306" w:rsidRDefault="00F67306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F67306" w:rsidRDefault="00582308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OBRAZLOŽENJE GODIŠNJEG IZVJEŠTAJA O IZVRŠENJU FINANCIJSKOG PLANA ZA 2025. GODINU</w:t>
      </w:r>
    </w:p>
    <w:p w:rsidR="00F67306" w:rsidRDefault="00582308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(ZA </w:t>
      </w:r>
      <w:r>
        <w:rPr>
          <w:rFonts w:ascii="Arial" w:hAnsi="Arial" w:cs="Arial"/>
          <w:b/>
          <w:bCs/>
          <w:sz w:val="24"/>
        </w:rPr>
        <w:t>RAZDOBLJE 01.01.2025.-3</w:t>
      </w:r>
      <w:r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>.</w:t>
      </w:r>
      <w:r>
        <w:rPr>
          <w:rFonts w:ascii="Arial" w:hAnsi="Arial" w:cs="Arial"/>
          <w:b/>
          <w:bCs/>
          <w:sz w:val="24"/>
        </w:rPr>
        <w:t>12</w:t>
      </w:r>
      <w:r>
        <w:rPr>
          <w:rFonts w:ascii="Arial" w:hAnsi="Arial" w:cs="Arial"/>
          <w:b/>
          <w:bCs/>
          <w:sz w:val="24"/>
        </w:rPr>
        <w:t>.2025.)</w:t>
      </w:r>
    </w:p>
    <w:p w:rsidR="00F67306" w:rsidRDefault="00F67306">
      <w:pPr>
        <w:spacing w:line="276" w:lineRule="auto"/>
        <w:jc w:val="both"/>
        <w:rPr>
          <w:rFonts w:ascii="Arial" w:hAnsi="Arial" w:cs="Arial"/>
          <w:b/>
          <w:bCs/>
          <w:lang w:eastAsia="hr-HR"/>
        </w:rPr>
      </w:pPr>
    </w:p>
    <w:p w:rsidR="00F67306" w:rsidRDefault="00F67306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F67306" w:rsidRDefault="00F67306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SAŽETAK DJELOKRUGA RADA </w:t>
      </w:r>
    </w:p>
    <w:p w:rsidR="00F67306" w:rsidRDefault="00F67306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>
        <w:rPr>
          <w:rFonts w:ascii="Arial" w:hAnsi="Arial" w:cs="Arial"/>
        </w:rPr>
        <w:t>Jure Filipovića Barban</w:t>
      </w:r>
      <w:r>
        <w:rPr>
          <w:rFonts w:ascii="Arial" w:hAnsi="Arial" w:cs="Arial"/>
        </w:rPr>
        <w:t xml:space="preserve"> (dalje: Škola) javna je ustanova koja obavlja djelatnost osnovnoškolskog odgoja i obrazovanja u skladu s aktom o osnivanju kojeg je donijela skupština Istarske županije. Upisana je u zajednički elektronski upisnik ustanova osnovnog i srednjeg školstva Min</w:t>
      </w:r>
      <w:r>
        <w:rPr>
          <w:rFonts w:ascii="Arial" w:hAnsi="Arial" w:cs="Arial"/>
        </w:rPr>
        <w:t>istarstva znanosti i obrazovanja pod brojem 1</w:t>
      </w:r>
      <w:r>
        <w:rPr>
          <w:rFonts w:ascii="Arial" w:hAnsi="Arial" w:cs="Arial"/>
        </w:rPr>
        <w:t>1033.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Škola ima svojstvo pravne osobe i upisana je u sudski registar ustanova kod Trgovačkog suda u Pazinu pod matičnim brojem subjekta upisa 0</w:t>
      </w:r>
      <w:r>
        <w:rPr>
          <w:rFonts w:ascii="Arial" w:hAnsi="Arial" w:cs="Arial"/>
        </w:rPr>
        <w:t>3208338</w:t>
      </w:r>
      <w:r>
        <w:rPr>
          <w:rFonts w:ascii="Arial" w:hAnsi="Arial" w:cs="Arial"/>
        </w:rPr>
        <w:t>.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Osnivač Škole je Istarska županija - </w:t>
      </w:r>
      <w:proofErr w:type="spellStart"/>
      <w:r>
        <w:rPr>
          <w:rFonts w:ascii="Arial" w:hAnsi="Arial" w:cs="Arial"/>
        </w:rPr>
        <w:t>Regione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istriana</w:t>
      </w:r>
      <w:proofErr w:type="spellEnd"/>
      <w:r>
        <w:rPr>
          <w:rFonts w:ascii="Arial" w:hAnsi="Arial" w:cs="Arial"/>
        </w:rPr>
        <w:t xml:space="preserve">. 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aziv Škole je Osnovna škola </w:t>
      </w:r>
      <w:r>
        <w:rPr>
          <w:rFonts w:ascii="Arial" w:hAnsi="Arial" w:cs="Arial"/>
        </w:rPr>
        <w:t>Jure Filipovića Barban</w:t>
      </w:r>
      <w:r>
        <w:rPr>
          <w:rFonts w:ascii="Arial" w:hAnsi="Arial" w:cs="Arial"/>
        </w:rPr>
        <w:t>.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Sjedište Škole je u </w:t>
      </w:r>
      <w:proofErr w:type="spellStart"/>
      <w:r>
        <w:rPr>
          <w:rFonts w:ascii="Arial" w:hAnsi="Arial" w:cs="Arial"/>
        </w:rPr>
        <w:t>Barbanu</w:t>
      </w:r>
      <w:proofErr w:type="spellEnd"/>
      <w:r>
        <w:rPr>
          <w:rFonts w:ascii="Arial" w:hAnsi="Arial" w:cs="Arial"/>
        </w:rPr>
        <w:t>, Barban 150.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Jure Filipovića Barban obavlja djelatnost osnovnog obrazovanja djece u javnoj ustanovi. Škola ostvaruje programe na temelju Godišnjeg plana i </w:t>
      </w:r>
      <w:r>
        <w:rPr>
          <w:rFonts w:ascii="Arial" w:hAnsi="Arial" w:cs="Arial"/>
        </w:rPr>
        <w:t>programa rada škole i Školskog kurikuluma, a u skladu sa Zakonom o ustanovama, Zakonom o odgoju i obrazovanju u osnovnoj školi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Statutom škole</w:t>
      </w:r>
      <w:r>
        <w:rPr>
          <w:rFonts w:ascii="Arial" w:hAnsi="Arial" w:cs="Arial"/>
        </w:rPr>
        <w:t xml:space="preserve"> i Provedbenim programom Istarske županije za razdoblje  2022.-2025. godine</w:t>
      </w:r>
      <w:r>
        <w:rPr>
          <w:rFonts w:ascii="Arial" w:hAnsi="Arial" w:cs="Arial"/>
        </w:rPr>
        <w:t>. U školskoj godini 202</w:t>
      </w:r>
      <w:r>
        <w:rPr>
          <w:rFonts w:ascii="Arial" w:hAnsi="Arial" w:cs="Arial"/>
        </w:rPr>
        <w:t>5.</w:t>
      </w:r>
      <w:r>
        <w:rPr>
          <w:rFonts w:ascii="Arial" w:hAnsi="Arial" w:cs="Arial"/>
        </w:rPr>
        <w:t>/202</w:t>
      </w:r>
      <w:r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Školu p</w:t>
      </w:r>
      <w:r>
        <w:rPr>
          <w:rFonts w:ascii="Arial" w:hAnsi="Arial" w:cs="Arial"/>
        </w:rPr>
        <w:t>ohađa ukupno 1</w:t>
      </w:r>
      <w:r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učenika. </w:t>
      </w:r>
    </w:p>
    <w:p w:rsidR="00F67306" w:rsidRDefault="00582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Odgojno-obrazovni programi realiziraju se u petodnevnom radnom tjednu izvodeći sve oblike nastavnoga i izvannastavnoga rada u jednoj smjeni, produženi boravak od 12.00 do 17.00 te se u prostorima škole u popodnevnoj smjeni odvija</w:t>
      </w:r>
      <w:r>
        <w:rPr>
          <w:rFonts w:ascii="Arial" w:hAnsi="Arial" w:cs="Arial"/>
        </w:rPr>
        <w:t xml:space="preserve"> rad dislociranih odjela Glazbene škole Ivana </w:t>
      </w:r>
      <w:proofErr w:type="spellStart"/>
      <w:r>
        <w:rPr>
          <w:rFonts w:ascii="Arial" w:hAnsi="Arial" w:cs="Arial"/>
        </w:rPr>
        <w:t>Matetića</w:t>
      </w:r>
      <w:proofErr w:type="spellEnd"/>
      <w:r>
        <w:rPr>
          <w:rFonts w:ascii="Arial" w:hAnsi="Arial" w:cs="Arial"/>
        </w:rPr>
        <w:t xml:space="preserve"> Ronjgova iz Pule</w:t>
      </w:r>
      <w:r>
        <w:rPr>
          <w:rFonts w:ascii="Arial" w:hAnsi="Arial" w:cs="Arial"/>
        </w:rPr>
        <w:t>.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Škola redovno zapošljava </w:t>
      </w:r>
      <w:r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djelatnika, a  kroz županijske programe Mozaik</w:t>
      </w:r>
      <w:r>
        <w:rPr>
          <w:rFonts w:ascii="Arial" w:hAnsi="Arial" w:cs="Arial"/>
        </w:rPr>
        <w:t xml:space="preserve"> 7,</w:t>
      </w:r>
      <w:r>
        <w:rPr>
          <w:rFonts w:ascii="Arial" w:hAnsi="Arial" w:cs="Arial"/>
        </w:rPr>
        <w:t xml:space="preserve"> Pomoćnici u nastavi</w:t>
      </w:r>
      <w:r>
        <w:rPr>
          <w:rFonts w:ascii="Arial" w:hAnsi="Arial" w:cs="Arial"/>
        </w:rPr>
        <w:t>, Školski psiholozi</w:t>
      </w:r>
      <w:r>
        <w:rPr>
          <w:rFonts w:ascii="Arial" w:hAnsi="Arial" w:cs="Arial"/>
        </w:rPr>
        <w:t xml:space="preserve"> zaposleno je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pomoćnika u nastavi</w:t>
      </w:r>
      <w:r>
        <w:rPr>
          <w:rFonts w:ascii="Arial" w:hAnsi="Arial" w:cs="Arial"/>
        </w:rPr>
        <w:t xml:space="preserve"> i jedan psiholog na pola radno</w:t>
      </w:r>
      <w:r>
        <w:rPr>
          <w:rFonts w:ascii="Arial" w:hAnsi="Arial" w:cs="Arial"/>
        </w:rPr>
        <w:t>g vremena te dvije učiteljice u produženom boravku.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- OPĆI DIO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Ukupno ostvareni prihodi i primici 2025. godine iznose </w:t>
      </w:r>
      <w:r>
        <w:rPr>
          <w:rFonts w:ascii="Arial" w:eastAsia="Calibri" w:hAnsi="Arial" w:cs="Arial"/>
          <w:bCs/>
        </w:rPr>
        <w:t>1.242.918,31</w:t>
      </w:r>
      <w:r>
        <w:rPr>
          <w:rFonts w:ascii="Arial" w:eastAsia="Calibri" w:hAnsi="Arial" w:cs="Arial"/>
          <w:bCs/>
        </w:rPr>
        <w:t xml:space="preserve"> eur</w:t>
      </w:r>
      <w:r>
        <w:rPr>
          <w:rFonts w:ascii="Arial" w:eastAsia="Calibri" w:hAnsi="Arial" w:cs="Arial"/>
          <w:bCs/>
        </w:rPr>
        <w:t>a</w:t>
      </w:r>
      <w:r>
        <w:rPr>
          <w:rFonts w:ascii="Arial" w:eastAsia="Calibri" w:hAnsi="Arial" w:cs="Arial"/>
          <w:bCs/>
        </w:rPr>
        <w:t xml:space="preserve"> u </w:t>
      </w:r>
      <w:r>
        <w:rPr>
          <w:rFonts w:ascii="Arial" w:eastAsia="Calibri" w:hAnsi="Arial" w:cs="Arial"/>
          <w:bCs/>
        </w:rPr>
        <w:t>usporedbi s</w:t>
      </w:r>
      <w:r>
        <w:rPr>
          <w:rFonts w:ascii="Arial" w:eastAsia="Calibri" w:hAnsi="Arial" w:cs="Arial"/>
          <w:bCs/>
        </w:rPr>
        <w:t xml:space="preserve"> tekućim planom (</w:t>
      </w:r>
      <w:r>
        <w:rPr>
          <w:rFonts w:ascii="Arial" w:eastAsia="Calibri" w:hAnsi="Arial" w:cs="Arial"/>
          <w:bCs/>
        </w:rPr>
        <w:t>I</w:t>
      </w:r>
      <w:r>
        <w:rPr>
          <w:rFonts w:ascii="Arial" w:eastAsia="Calibri" w:hAnsi="Arial" w:cs="Arial"/>
          <w:bCs/>
        </w:rPr>
        <w:t>I izmjenama i dopunama plana za 2025. g.)</w:t>
      </w:r>
      <w:r>
        <w:rPr>
          <w:rFonts w:ascii="Arial" w:eastAsia="Calibri" w:hAnsi="Arial" w:cs="Arial"/>
          <w:bCs/>
        </w:rPr>
        <w:t xml:space="preserve"> ostvareni su u iznosu od 91,67</w:t>
      </w:r>
      <w:r>
        <w:rPr>
          <w:rFonts w:ascii="Arial" w:eastAsia="Calibri" w:hAnsi="Arial" w:cs="Arial"/>
          <w:bCs/>
        </w:rPr>
        <w:t>%</w:t>
      </w:r>
      <w:r>
        <w:rPr>
          <w:rFonts w:ascii="Arial" w:eastAsia="Calibri" w:hAnsi="Arial" w:cs="Arial"/>
          <w:bCs/>
        </w:rPr>
        <w:t xml:space="preserve">, a u odnosu na prethodnu godinu veći su za </w:t>
      </w:r>
      <w:r>
        <w:rPr>
          <w:rFonts w:ascii="Arial" w:eastAsia="Calibri" w:hAnsi="Arial" w:cs="Arial"/>
          <w:bCs/>
        </w:rPr>
        <w:t>12,47</w:t>
      </w:r>
      <w:r>
        <w:rPr>
          <w:rFonts w:ascii="Arial" w:eastAsia="Calibri" w:hAnsi="Arial" w:cs="Arial"/>
          <w:bCs/>
        </w:rPr>
        <w:t>%.</w:t>
      </w:r>
    </w:p>
    <w:p w:rsidR="00F67306" w:rsidRDefault="00F67306">
      <w:pPr>
        <w:spacing w:line="276" w:lineRule="auto"/>
        <w:jc w:val="both"/>
        <w:rPr>
          <w:rFonts w:ascii="Arial" w:eastAsia="Calibri" w:hAnsi="Arial" w:cs="Arial"/>
          <w:bCs/>
        </w:rPr>
      </w:pPr>
    </w:p>
    <w:p w:rsidR="00F67306" w:rsidRDefault="00582308">
      <w:p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Ostvareni rashodi i izdaci u </w:t>
      </w:r>
      <w:r>
        <w:rPr>
          <w:rFonts w:ascii="Arial" w:eastAsia="Calibri" w:hAnsi="Arial" w:cs="Arial"/>
          <w:bCs/>
        </w:rPr>
        <w:t>izvještajnom razdoblju</w:t>
      </w:r>
      <w:r>
        <w:rPr>
          <w:rFonts w:ascii="Arial" w:eastAsia="Calibri" w:hAnsi="Arial" w:cs="Arial"/>
          <w:bCs/>
        </w:rPr>
        <w:t xml:space="preserve"> iznose </w:t>
      </w:r>
      <w:r>
        <w:rPr>
          <w:rFonts w:ascii="Arial" w:eastAsia="Calibri" w:hAnsi="Arial" w:cs="Arial"/>
          <w:bCs/>
        </w:rPr>
        <w:t>1.329.914,94</w:t>
      </w:r>
      <w:r>
        <w:rPr>
          <w:rFonts w:ascii="Arial" w:eastAsia="Calibri" w:hAnsi="Arial" w:cs="Arial"/>
          <w:bCs/>
        </w:rPr>
        <w:t xml:space="preserve"> eur</w:t>
      </w:r>
      <w:r>
        <w:rPr>
          <w:rFonts w:ascii="Arial" w:eastAsia="Calibri" w:hAnsi="Arial" w:cs="Arial"/>
          <w:bCs/>
        </w:rPr>
        <w:t>a</w:t>
      </w:r>
      <w:r>
        <w:rPr>
          <w:rFonts w:ascii="Arial" w:eastAsia="Calibri" w:hAnsi="Arial" w:cs="Arial"/>
          <w:bCs/>
        </w:rPr>
        <w:t xml:space="preserve">, te su za </w:t>
      </w:r>
      <w:r>
        <w:rPr>
          <w:rFonts w:ascii="Arial" w:eastAsia="Calibri" w:hAnsi="Arial" w:cs="Arial"/>
          <w:bCs/>
        </w:rPr>
        <w:t xml:space="preserve">20,84 </w:t>
      </w:r>
      <w:r>
        <w:rPr>
          <w:rFonts w:ascii="Arial" w:eastAsia="Calibri" w:hAnsi="Arial" w:cs="Arial"/>
          <w:bCs/>
        </w:rPr>
        <w:t>% veći od lanjskog ostvarenja u istom razdoblju.</w:t>
      </w:r>
    </w:p>
    <w:p w:rsidR="00F67306" w:rsidRDefault="00F67306">
      <w:pPr>
        <w:spacing w:line="276" w:lineRule="auto"/>
        <w:jc w:val="both"/>
        <w:rPr>
          <w:rFonts w:ascii="Arial" w:eastAsia="Calibri" w:hAnsi="Arial" w:cs="Arial"/>
          <w:bCs/>
        </w:rPr>
      </w:pPr>
    </w:p>
    <w:p w:rsidR="00F67306" w:rsidRDefault="00582308">
      <w:p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U </w:t>
      </w:r>
      <w:r>
        <w:rPr>
          <w:rFonts w:ascii="Arial" w:eastAsia="Calibri" w:hAnsi="Arial" w:cs="Arial"/>
          <w:bCs/>
        </w:rPr>
        <w:t>izvještajnom razdoblju</w:t>
      </w:r>
      <w:r>
        <w:rPr>
          <w:rFonts w:ascii="Arial" w:eastAsia="Calibri" w:hAnsi="Arial" w:cs="Arial"/>
          <w:bCs/>
        </w:rPr>
        <w:t xml:space="preserve"> Škola iskazuje manjak prihoda u iznosu od </w:t>
      </w:r>
      <w:r>
        <w:rPr>
          <w:rFonts w:ascii="Arial" w:eastAsia="Calibri" w:hAnsi="Arial" w:cs="Arial"/>
          <w:bCs/>
        </w:rPr>
        <w:t>86.996,63</w:t>
      </w:r>
      <w:r>
        <w:rPr>
          <w:rFonts w:ascii="Arial" w:eastAsia="Calibri" w:hAnsi="Arial" w:cs="Arial"/>
          <w:bCs/>
        </w:rPr>
        <w:t xml:space="preserve"> eur</w:t>
      </w:r>
      <w:r>
        <w:rPr>
          <w:rFonts w:ascii="Arial" w:eastAsia="Calibri" w:hAnsi="Arial" w:cs="Arial"/>
          <w:bCs/>
        </w:rPr>
        <w:t>a</w:t>
      </w:r>
      <w:r>
        <w:rPr>
          <w:rFonts w:ascii="Arial" w:eastAsia="Calibri" w:hAnsi="Arial" w:cs="Arial"/>
          <w:bCs/>
        </w:rPr>
        <w:t xml:space="preserve">, a iz 2024.  prenesen je višak prihoda u iznosu od </w:t>
      </w:r>
      <w:r>
        <w:rPr>
          <w:rFonts w:ascii="Arial" w:eastAsia="Calibri" w:hAnsi="Arial" w:cs="Arial"/>
          <w:bCs/>
        </w:rPr>
        <w:t>16.683,42</w:t>
      </w:r>
      <w:r>
        <w:rPr>
          <w:rFonts w:ascii="Arial" w:eastAsia="Calibri" w:hAnsi="Arial" w:cs="Arial"/>
          <w:bCs/>
        </w:rPr>
        <w:t xml:space="preserve"> eur</w:t>
      </w:r>
      <w:r>
        <w:rPr>
          <w:rFonts w:ascii="Arial" w:eastAsia="Calibri" w:hAnsi="Arial" w:cs="Arial"/>
          <w:bCs/>
        </w:rPr>
        <w:t>a</w:t>
      </w:r>
      <w:r>
        <w:rPr>
          <w:rFonts w:ascii="Arial" w:eastAsia="Calibri" w:hAnsi="Arial" w:cs="Arial"/>
          <w:bCs/>
        </w:rPr>
        <w:t>. Ukupni manjak prihoda odnosi se  prvenstveno na obračunat</w:t>
      </w:r>
      <w:r>
        <w:rPr>
          <w:rFonts w:ascii="Arial" w:eastAsia="Calibri" w:hAnsi="Arial" w:cs="Arial"/>
          <w:bCs/>
        </w:rPr>
        <w:t>e</w:t>
      </w:r>
      <w:r>
        <w:rPr>
          <w:rFonts w:ascii="Arial" w:eastAsia="Calibri" w:hAnsi="Arial" w:cs="Arial"/>
          <w:bCs/>
        </w:rPr>
        <w:t xml:space="preserve"> plać</w:t>
      </w:r>
      <w:r>
        <w:rPr>
          <w:rFonts w:ascii="Arial" w:eastAsia="Calibri" w:hAnsi="Arial" w:cs="Arial"/>
          <w:bCs/>
        </w:rPr>
        <w:t>e</w:t>
      </w:r>
      <w:r>
        <w:rPr>
          <w:rFonts w:ascii="Arial" w:eastAsia="Calibri" w:hAnsi="Arial" w:cs="Arial"/>
          <w:bCs/>
        </w:rPr>
        <w:t xml:space="preserve"> za </w:t>
      </w:r>
      <w:r>
        <w:rPr>
          <w:rFonts w:ascii="Arial" w:eastAsia="Calibri" w:hAnsi="Arial" w:cs="Arial"/>
          <w:bCs/>
        </w:rPr>
        <w:t>prosinac</w:t>
      </w:r>
      <w:r>
        <w:rPr>
          <w:rFonts w:ascii="Arial" w:eastAsia="Calibri" w:hAnsi="Arial" w:cs="Arial"/>
          <w:bCs/>
        </w:rPr>
        <w:t xml:space="preserve"> 2025. godine i knjiženje rashoda, dok će prihodi biti </w:t>
      </w:r>
      <w:r>
        <w:rPr>
          <w:rFonts w:ascii="Arial" w:eastAsia="Calibri" w:hAnsi="Arial" w:cs="Arial"/>
          <w:bCs/>
        </w:rPr>
        <w:t>priznati u narednom razdoblju po naplaćenosti (u s</w:t>
      </w:r>
      <w:r>
        <w:rPr>
          <w:rFonts w:ascii="Arial" w:eastAsia="Calibri" w:hAnsi="Arial" w:cs="Arial"/>
          <w:bCs/>
        </w:rPr>
        <w:t>iječnju 2026</w:t>
      </w:r>
      <w:r>
        <w:rPr>
          <w:rFonts w:ascii="Arial" w:eastAsia="Calibri" w:hAnsi="Arial" w:cs="Arial"/>
          <w:bCs/>
        </w:rPr>
        <w:t>). To je nova metodologija priznavanja rashoda u razdoblju na koje se odnose bez obzira da li su u tom trenutku raspoloživi prihodi za njihovo pokriće (sukladno novom Pravilniku o proračunskom r</w:t>
      </w:r>
      <w:r>
        <w:rPr>
          <w:rFonts w:ascii="Arial" w:eastAsia="Calibri" w:hAnsi="Arial" w:cs="Arial"/>
          <w:bCs/>
        </w:rPr>
        <w:t>ačunovodstvu i računskom planu koji je u primjeni od 01.01.2025.g.).</w:t>
      </w:r>
      <w:r>
        <w:rPr>
          <w:rFonts w:ascii="Arial" w:eastAsia="Calibri" w:hAnsi="Arial" w:cs="Arial"/>
          <w:bCs/>
        </w:rPr>
        <w:t xml:space="preserve"> Osim toga tekući manjak posljedica je ulaska u sustav Riznice prilikom kojeg se prihodi priznaju tek nakon što Županija podmiri ulazne račune čiji su rashodi knjiženi u prosincu, a prihod</w:t>
      </w:r>
      <w:r>
        <w:rPr>
          <w:rFonts w:ascii="Arial" w:eastAsia="Calibri" w:hAnsi="Arial" w:cs="Arial"/>
          <w:bCs/>
        </w:rPr>
        <w:t>i će biti evidentirani u siječnju 2026. godine.</w:t>
      </w:r>
    </w:p>
    <w:p w:rsidR="00F67306" w:rsidRDefault="00F67306">
      <w:pPr>
        <w:spacing w:line="276" w:lineRule="auto"/>
        <w:jc w:val="both"/>
        <w:rPr>
          <w:rFonts w:ascii="Arial" w:eastAsia="Calibri" w:hAnsi="Arial" w:cs="Arial"/>
          <w:bCs/>
        </w:rPr>
      </w:pPr>
    </w:p>
    <w:p w:rsidR="00F67306" w:rsidRDefault="00582308">
      <w:p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Prema navedenom, radi se o metodološkom manjku</w:t>
      </w:r>
      <w:r>
        <w:rPr>
          <w:rFonts w:ascii="Arial" w:eastAsia="Calibri" w:hAnsi="Arial" w:cs="Arial"/>
          <w:bCs/>
        </w:rPr>
        <w:t xml:space="preserve"> u iznosu od 91.547,44 eura</w:t>
      </w:r>
      <w:r>
        <w:rPr>
          <w:rFonts w:ascii="Arial" w:eastAsia="Calibri" w:hAnsi="Arial" w:cs="Arial"/>
          <w:bCs/>
        </w:rPr>
        <w:t xml:space="preserve">, dok realno stanje iskazuje neutrošena sredstva na pozicijama školske kuhinje, </w:t>
      </w:r>
      <w:r>
        <w:rPr>
          <w:rFonts w:ascii="Arial" w:eastAsia="Calibri" w:hAnsi="Arial" w:cs="Arial"/>
          <w:bCs/>
        </w:rPr>
        <w:t xml:space="preserve">prihoda od donacija, </w:t>
      </w:r>
      <w:r>
        <w:rPr>
          <w:rFonts w:ascii="Arial" w:eastAsia="Calibri" w:hAnsi="Arial" w:cs="Arial"/>
          <w:bCs/>
        </w:rPr>
        <w:t>vlastitih prihoda i prihoda po po</w:t>
      </w:r>
      <w:r>
        <w:rPr>
          <w:rFonts w:ascii="Arial" w:eastAsia="Calibri" w:hAnsi="Arial" w:cs="Arial"/>
          <w:bCs/>
        </w:rPr>
        <w:t>sebnim propisima.</w:t>
      </w:r>
    </w:p>
    <w:p w:rsidR="00F67306" w:rsidRDefault="00582308">
      <w:pPr>
        <w:spacing w:line="276" w:lineRule="auto"/>
        <w:jc w:val="center"/>
        <w:rPr>
          <w:rFonts w:ascii="Arial" w:eastAsia="Calibri" w:hAnsi="Arial" w:cs="Arial"/>
          <w:bCs/>
          <w:i/>
        </w:rPr>
      </w:pPr>
      <w:r>
        <w:rPr>
          <w:rFonts w:ascii="Arial" w:eastAsia="Calibri" w:hAnsi="Arial" w:cs="Arial"/>
          <w:bCs/>
          <w:i/>
        </w:rPr>
        <w:t>Sažetak 01.01.-3</w:t>
      </w:r>
      <w:r>
        <w:rPr>
          <w:rFonts w:ascii="Arial" w:eastAsia="Calibri" w:hAnsi="Arial" w:cs="Arial"/>
          <w:bCs/>
          <w:i/>
        </w:rPr>
        <w:t>1</w:t>
      </w:r>
      <w:r>
        <w:rPr>
          <w:rFonts w:ascii="Arial" w:eastAsia="Calibri" w:hAnsi="Arial" w:cs="Arial"/>
          <w:bCs/>
          <w:i/>
        </w:rPr>
        <w:t>.</w:t>
      </w:r>
      <w:r>
        <w:rPr>
          <w:rFonts w:ascii="Arial" w:eastAsia="Calibri" w:hAnsi="Arial" w:cs="Arial"/>
          <w:bCs/>
          <w:i/>
        </w:rPr>
        <w:t>12</w:t>
      </w:r>
      <w:r>
        <w:rPr>
          <w:rFonts w:ascii="Arial" w:eastAsia="Calibri" w:hAnsi="Arial" w:cs="Arial"/>
          <w:bCs/>
          <w:i/>
        </w:rPr>
        <w:t>.202</w:t>
      </w:r>
      <w:r>
        <w:rPr>
          <w:rFonts w:ascii="Arial" w:eastAsia="Calibri" w:hAnsi="Arial" w:cs="Arial"/>
          <w:bCs/>
          <w:i/>
        </w:rPr>
        <w:t>5</w:t>
      </w:r>
      <w:r>
        <w:rPr>
          <w:rFonts w:ascii="Arial" w:eastAsia="Calibri" w:hAnsi="Arial" w:cs="Arial"/>
          <w:bCs/>
          <w:i/>
        </w:rPr>
        <w:t>.g.</w:t>
      </w:r>
    </w:p>
    <w:p w:rsidR="00F67306" w:rsidRDefault="00F67306">
      <w:pPr>
        <w:spacing w:line="276" w:lineRule="auto"/>
        <w:jc w:val="center"/>
        <w:rPr>
          <w:rFonts w:ascii="Arial" w:eastAsia="Calibri" w:hAnsi="Arial" w:cs="Arial"/>
          <w:bCs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268"/>
      </w:tblGrid>
      <w:tr w:rsidR="00F6730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Izvršenje</w:t>
            </w:r>
          </w:p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01.01.-3</w:t>
            </w: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>.202</w:t>
            </w:r>
            <w:r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F6730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Prihodi 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1.242.918,31</w:t>
            </w:r>
          </w:p>
        </w:tc>
      </w:tr>
      <w:tr w:rsidR="00F6730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1.242.918,31</w:t>
            </w:r>
          </w:p>
        </w:tc>
      </w:tr>
      <w:tr w:rsidR="00F6730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Prihodi od prodaje nefinancijske imovina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F6730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Rashodi 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1.329.914,94</w:t>
            </w:r>
          </w:p>
        </w:tc>
      </w:tr>
      <w:tr w:rsidR="00F6730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1.308.422,68</w:t>
            </w:r>
          </w:p>
        </w:tc>
      </w:tr>
      <w:tr w:rsidR="00F6730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21.492,26</w:t>
            </w:r>
          </w:p>
        </w:tc>
      </w:tr>
      <w:tr w:rsidR="00F6730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Razlika – manjak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t>86.996,63</w:t>
            </w:r>
          </w:p>
        </w:tc>
      </w:tr>
      <w:tr w:rsidR="00F6730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Ukupan donos viška iz prethodne godine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16.683,42</w:t>
            </w:r>
          </w:p>
        </w:tc>
      </w:tr>
      <w:tr w:rsidR="00F6730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Manjak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tekućeg razdoblja </w:t>
            </w:r>
            <w:r>
              <w:rPr>
                <w:rFonts w:ascii="Arial" w:hAnsi="Arial" w:cs="Arial"/>
                <w:b/>
                <w:sz w:val="20"/>
              </w:rPr>
              <w:t>koji će se rasporediti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t>70.313,21</w:t>
            </w:r>
          </w:p>
        </w:tc>
      </w:tr>
    </w:tbl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pStyle w:val="Odlomakpopisa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Ostvareni prihodi i primici odnose </w:t>
      </w:r>
      <w:r>
        <w:rPr>
          <w:rFonts w:ascii="Arial" w:hAnsi="Arial" w:cs="Arial"/>
        </w:rPr>
        <w:t>se u cijelosti na prihode poslovanja koji se sastoje od:</w:t>
      </w:r>
    </w:p>
    <w:p w:rsidR="00F67306" w:rsidRDefault="00582308">
      <w:pPr>
        <w:pStyle w:val="Odlomakpopisa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prihoda iz nadležnog proračuna (proračuna Istarske županije) u iznosu od </w:t>
      </w:r>
      <w:r>
        <w:rPr>
          <w:rFonts w:ascii="Arial" w:hAnsi="Arial" w:cs="Arial"/>
        </w:rPr>
        <w:t>358.693,30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,</w:t>
      </w:r>
    </w:p>
    <w:p w:rsidR="00F67306" w:rsidRDefault="00582308">
      <w:pPr>
        <w:pStyle w:val="Odlomakpopisa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prihoda tj. pomoći iz drugih proračuna (Ministarstva obrazovanja i mladih, </w:t>
      </w:r>
      <w:r>
        <w:rPr>
          <w:rFonts w:ascii="Arial" w:hAnsi="Arial" w:cs="Arial"/>
        </w:rPr>
        <w:t>Ministarstva poljoprivrede, Općine</w:t>
      </w:r>
      <w:r>
        <w:rPr>
          <w:rFonts w:ascii="Arial" w:hAnsi="Arial" w:cs="Arial"/>
        </w:rPr>
        <w:t xml:space="preserve"> Barban</w:t>
      </w:r>
      <w:r>
        <w:rPr>
          <w:rFonts w:ascii="Arial" w:hAnsi="Arial" w:cs="Arial"/>
        </w:rPr>
        <w:t xml:space="preserve">) u iznosu od </w:t>
      </w:r>
      <w:r>
        <w:rPr>
          <w:rFonts w:ascii="Arial" w:hAnsi="Arial" w:cs="Arial"/>
        </w:rPr>
        <w:t xml:space="preserve"> 872.233,06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</w:p>
    <w:p w:rsidR="00F67306" w:rsidRDefault="00582308">
      <w:pPr>
        <w:pStyle w:val="Odlomakpopisa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prihoda po posebnim propisima (sufinanciranja cijene usluga od strane roditelja – </w:t>
      </w:r>
      <w:proofErr w:type="spellStart"/>
      <w:r>
        <w:rPr>
          <w:rFonts w:ascii="Arial" w:hAnsi="Arial" w:cs="Arial"/>
        </w:rPr>
        <w:t>ručkovi</w:t>
      </w:r>
      <w:proofErr w:type="spellEnd"/>
      <w:r>
        <w:rPr>
          <w:rFonts w:ascii="Arial" w:hAnsi="Arial" w:cs="Arial"/>
        </w:rPr>
        <w:t>, produženi boravak i ostali prihodi po posebnim propisima) u iznosu 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24.628,21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,</w:t>
      </w:r>
    </w:p>
    <w:p w:rsidR="00F67306" w:rsidRDefault="00582308">
      <w:pPr>
        <w:pStyle w:val="Odlomakpopisa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prihoda od </w:t>
      </w:r>
      <w:r>
        <w:rPr>
          <w:rFonts w:ascii="Arial" w:hAnsi="Arial" w:cs="Arial"/>
        </w:rPr>
        <w:t xml:space="preserve">prodaje proizvoda i </w:t>
      </w:r>
      <w:r>
        <w:rPr>
          <w:rFonts w:ascii="Arial" w:hAnsi="Arial" w:cs="Arial"/>
        </w:rPr>
        <w:t xml:space="preserve">pružanja </w:t>
      </w:r>
      <w:r>
        <w:rPr>
          <w:rFonts w:ascii="Arial" w:hAnsi="Arial" w:cs="Arial"/>
        </w:rPr>
        <w:t xml:space="preserve">usluga  u iznosu od </w:t>
      </w:r>
      <w:r>
        <w:rPr>
          <w:rFonts w:ascii="Arial" w:hAnsi="Arial" w:cs="Arial"/>
        </w:rPr>
        <w:t>6.893,54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, i</w:t>
      </w:r>
    </w:p>
    <w:p w:rsidR="00F67306" w:rsidRDefault="00582308">
      <w:pPr>
        <w:pStyle w:val="Odlomakpopisa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prihoda od donacija u iznosu od </w:t>
      </w:r>
      <w:r>
        <w:rPr>
          <w:rFonts w:ascii="Arial" w:hAnsi="Arial" w:cs="Arial"/>
        </w:rPr>
        <w:t xml:space="preserve"> 9.979,87 eura </w:t>
      </w:r>
    </w:p>
    <w:p w:rsidR="00F67306" w:rsidRDefault="00F67306">
      <w:pPr>
        <w:pStyle w:val="Odlomakpopisa"/>
        <w:spacing w:after="0" w:line="276" w:lineRule="auto"/>
        <w:ind w:left="0"/>
        <w:jc w:val="both"/>
        <w:rPr>
          <w:rFonts w:ascii="Arial" w:hAnsi="Arial" w:cs="Arial"/>
          <w:color w:val="FF0000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 pomoći od državnog proračuna – MZOM-a financirano je:</w:t>
      </w:r>
    </w:p>
    <w:p w:rsidR="00F67306" w:rsidRDefault="00582308">
      <w:pPr>
        <w:pStyle w:val="Odlomakpopisa"/>
        <w:numPr>
          <w:ilvl w:val="0"/>
          <w:numId w:val="2"/>
        </w:numPr>
        <w:spacing w:before="120" w:after="0" w:line="276" w:lineRule="auto"/>
        <w:ind w:left="499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rashodi za zaposlene u iznosu od </w:t>
      </w:r>
      <w:r>
        <w:rPr>
          <w:rFonts w:ascii="Arial" w:hAnsi="Arial" w:cs="Arial"/>
        </w:rPr>
        <w:t>827.784,70</w:t>
      </w:r>
      <w:r>
        <w:rPr>
          <w:rFonts w:ascii="Arial" w:hAnsi="Arial" w:cs="Arial"/>
        </w:rPr>
        <w:t xml:space="preserve"> (bruto plaće, doprinosi, pomoći, nagrade, naknade za prijevoz djelatn</w:t>
      </w:r>
      <w:r>
        <w:rPr>
          <w:rFonts w:ascii="Arial" w:hAnsi="Arial" w:cs="Arial"/>
        </w:rPr>
        <w:t xml:space="preserve">ika i naknada zbog nezapošljavanja invalida), </w:t>
      </w:r>
    </w:p>
    <w:p w:rsidR="00F67306" w:rsidRDefault="0058230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troškova prehrane učenika (besplatne marende) u iznosu 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405,29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eura</w:t>
      </w:r>
      <w:r>
        <w:rPr>
          <w:rFonts w:ascii="Arial" w:hAnsi="Arial" w:cs="Arial"/>
        </w:rPr>
        <w:t>,</w:t>
      </w:r>
    </w:p>
    <w:p w:rsidR="00F67306" w:rsidRDefault="0058230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nabava </w:t>
      </w:r>
      <w:proofErr w:type="spellStart"/>
      <w:r>
        <w:rPr>
          <w:rFonts w:ascii="Arial" w:hAnsi="Arial" w:cs="Arial"/>
        </w:rPr>
        <w:t>psihodijagnostičkog</w:t>
      </w:r>
      <w:proofErr w:type="spellEnd"/>
      <w:r>
        <w:rPr>
          <w:rFonts w:ascii="Arial" w:hAnsi="Arial" w:cs="Arial"/>
        </w:rPr>
        <w:t xml:space="preserve"> materijala </w:t>
      </w:r>
      <w:r>
        <w:rPr>
          <w:rFonts w:ascii="Arial" w:hAnsi="Arial" w:cs="Arial"/>
        </w:rPr>
        <w:t>5.163,13</w:t>
      </w:r>
      <w:r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ura</w:t>
      </w:r>
    </w:p>
    <w:p w:rsidR="00F67306" w:rsidRDefault="0058230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produženi boravak za nacionalne manjine 620,80 eura</w:t>
      </w:r>
    </w:p>
    <w:p w:rsidR="00F67306" w:rsidRDefault="0058230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nabava udžbenika 7.143,85 eura</w:t>
      </w:r>
    </w:p>
    <w:p w:rsidR="00F67306" w:rsidRDefault="0058230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nab</w:t>
      </w:r>
      <w:r>
        <w:rPr>
          <w:rFonts w:ascii="Arial" w:hAnsi="Arial" w:cs="Arial"/>
        </w:rPr>
        <w:t>ava knjiga za knjižnicu 400,79</w:t>
      </w:r>
    </w:p>
    <w:p w:rsidR="00F67306" w:rsidRDefault="00F67306">
      <w:pPr>
        <w:spacing w:line="276" w:lineRule="auto"/>
        <w:jc w:val="both"/>
        <w:rPr>
          <w:rFonts w:ascii="Arial" w:hAnsi="Arial" w:cs="Arial"/>
          <w:color w:val="FF0000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ostalih ministarstava tj. od Ministarstva rada, mirovinskog sustava, obitelji i socijalne politike primljeno je </w:t>
      </w:r>
      <w:r>
        <w:rPr>
          <w:rFonts w:ascii="Arial" w:hAnsi="Arial" w:cs="Arial"/>
        </w:rPr>
        <w:t>283,50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 nabavu menstrualnih higijenskih potrepština za učenice</w:t>
      </w:r>
      <w:r>
        <w:rPr>
          <w:rFonts w:ascii="Arial" w:hAnsi="Arial" w:cs="Arial"/>
        </w:rPr>
        <w:t>, Ministarstva poljoprivrede 2.075,60 za</w:t>
      </w:r>
      <w:r>
        <w:rPr>
          <w:rFonts w:ascii="Arial" w:hAnsi="Arial" w:cs="Arial"/>
        </w:rPr>
        <w:t xml:space="preserve"> projekte Školska shema i Medni dani.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Uplaćenim sredstvima – pomoći </w:t>
      </w:r>
      <w:r>
        <w:rPr>
          <w:rFonts w:ascii="Arial" w:hAnsi="Arial" w:cs="Arial"/>
        </w:rPr>
        <w:t>Općine Barban</w:t>
      </w:r>
      <w:r>
        <w:rPr>
          <w:rFonts w:ascii="Arial" w:hAnsi="Arial" w:cs="Arial"/>
        </w:rPr>
        <w:t xml:space="preserve"> financira</w:t>
      </w:r>
      <w:r>
        <w:rPr>
          <w:rFonts w:ascii="Arial" w:hAnsi="Arial" w:cs="Arial"/>
        </w:rPr>
        <w:t>ni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</w:rPr>
        <w:t>:</w:t>
      </w:r>
    </w:p>
    <w:p w:rsidR="00F67306" w:rsidRDefault="00582308">
      <w:pPr>
        <w:pStyle w:val="Odlomakpopisa"/>
        <w:numPr>
          <w:ilvl w:val="0"/>
          <w:numId w:val="2"/>
        </w:numPr>
        <w:spacing w:before="120" w:after="0" w:line="276" w:lineRule="auto"/>
        <w:ind w:left="499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</w:t>
      </w:r>
      <w:r>
        <w:rPr>
          <w:rFonts w:ascii="Arial" w:hAnsi="Arial" w:cs="Arial"/>
        </w:rPr>
        <w:t xml:space="preserve">za plaće i ostali rashoda za zaposlene u PB-u u iznosu </w:t>
      </w:r>
      <w:r>
        <w:rPr>
          <w:rFonts w:ascii="Arial" w:hAnsi="Arial" w:cs="Arial"/>
        </w:rPr>
        <w:t>27.166,06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</w:p>
    <w:p w:rsidR="00F67306" w:rsidRDefault="0058230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rashodi za terensku nastavu u iznosu od 478,00 eura</w:t>
      </w:r>
    </w:p>
    <w:p w:rsidR="00F67306" w:rsidRDefault="0058230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robotiku 120,00 </w:t>
      </w:r>
      <w:r>
        <w:rPr>
          <w:rFonts w:ascii="Arial" w:hAnsi="Arial" w:cs="Arial"/>
        </w:rPr>
        <w:t>eura</w:t>
      </w:r>
    </w:p>
    <w:p w:rsidR="00F67306" w:rsidRDefault="0058230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rashodi za nagrade za učenike 548,80 eura</w:t>
      </w:r>
    </w:p>
    <w:p w:rsidR="00F67306" w:rsidRDefault="0058230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rashodi za nabavu klima uređaja 4.487,50</w:t>
      </w:r>
    </w:p>
    <w:p w:rsidR="00F67306" w:rsidRDefault="00F67306">
      <w:pPr>
        <w:spacing w:line="276" w:lineRule="auto"/>
        <w:jc w:val="both"/>
        <w:rPr>
          <w:rFonts w:ascii="Arial" w:hAnsi="Arial" w:cs="Arial"/>
          <w:color w:val="FF0000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Prihodima iz nadležnog proračuna za financiranje redovne djelatnosti financirano je:</w:t>
      </w:r>
    </w:p>
    <w:p w:rsidR="00F67306" w:rsidRDefault="0058230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 decentraliziranih sredstava županije:</w:t>
      </w:r>
    </w:p>
    <w:p w:rsidR="00F67306" w:rsidRDefault="00582308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materijalni rashodi po kriteriju </w:t>
      </w:r>
      <w:r>
        <w:rPr>
          <w:rFonts w:ascii="Arial" w:hAnsi="Arial" w:cs="Arial"/>
        </w:rPr>
        <w:t>19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440,00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materijalni rashodi po stvarnom trošku kao što </w:t>
      </w:r>
      <w:r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prijevoz učenika</w:t>
      </w:r>
      <w:r>
        <w:rPr>
          <w:rFonts w:ascii="Arial" w:hAnsi="Arial" w:cs="Arial"/>
        </w:rPr>
        <w:t xml:space="preserve"> i sistematski pregledi zaposlenika 163.083,11 eura</w:t>
      </w:r>
    </w:p>
    <w:p w:rsidR="00F67306" w:rsidRDefault="00582308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investicijsko održavanje – minimalni standard</w:t>
      </w:r>
      <w:r>
        <w:rPr>
          <w:rFonts w:ascii="Arial" w:hAnsi="Arial" w:cs="Arial"/>
        </w:rPr>
        <w:t xml:space="preserve"> 10.273,57 eura</w:t>
      </w:r>
    </w:p>
    <w:p w:rsidR="00F67306" w:rsidRDefault="0058230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 županijskih nenamjenskih prihoda i primitaka:</w:t>
      </w:r>
    </w:p>
    <w:p w:rsidR="00F67306" w:rsidRDefault="00582308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troškovi energi</w:t>
      </w:r>
      <w:r>
        <w:rPr>
          <w:rFonts w:ascii="Arial" w:hAnsi="Arial" w:cs="Arial"/>
        </w:rPr>
        <w:t>je, usluge tekućeg održavanja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premije osiguranja</w:t>
      </w:r>
      <w:r>
        <w:rPr>
          <w:rFonts w:ascii="Arial" w:hAnsi="Arial" w:cs="Arial"/>
        </w:rPr>
        <w:t xml:space="preserve"> te dio prijevoza učenika 58.239,39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</w:p>
    <w:p w:rsidR="00F67306" w:rsidRDefault="00582308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finaciranje</w:t>
      </w:r>
      <w:proofErr w:type="spellEnd"/>
      <w:r>
        <w:rPr>
          <w:rFonts w:ascii="Arial" w:hAnsi="Arial" w:cs="Arial"/>
        </w:rPr>
        <w:t xml:space="preserve"> plaće i ostalih materijalnih prava za </w:t>
      </w:r>
      <w:r>
        <w:rPr>
          <w:rFonts w:ascii="Arial" w:hAnsi="Arial" w:cs="Arial"/>
        </w:rPr>
        <w:t>dva</w:t>
      </w:r>
      <w:r>
        <w:rPr>
          <w:rFonts w:ascii="Arial" w:hAnsi="Arial" w:cs="Arial"/>
        </w:rPr>
        <w:t xml:space="preserve"> PUN </w:t>
      </w:r>
      <w:r>
        <w:rPr>
          <w:rFonts w:ascii="Arial" w:hAnsi="Arial" w:cs="Arial"/>
        </w:rPr>
        <w:t>21.652,76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</w:p>
    <w:p w:rsidR="00F67306" w:rsidRDefault="00582308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troškovi sudjelovanja na županijskim natjecanjima 148,50 eura</w:t>
      </w:r>
    </w:p>
    <w:p w:rsidR="00F67306" w:rsidRDefault="00582308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dio plaća i ostalih materijalni</w:t>
      </w:r>
      <w:r>
        <w:rPr>
          <w:rFonts w:ascii="Arial" w:hAnsi="Arial" w:cs="Arial"/>
        </w:rPr>
        <w:t>h rashoda za učitelje produženog boravka 2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566,09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</w:p>
    <w:p w:rsidR="00F67306" w:rsidRDefault="00582308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materijalnih rashoda za projekt Zavičajna nastava </w:t>
      </w:r>
      <w:r>
        <w:rPr>
          <w:rFonts w:ascii="Arial" w:hAnsi="Arial" w:cs="Arial"/>
        </w:rPr>
        <w:t>1.300,00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</w:p>
    <w:p w:rsidR="00F67306" w:rsidRDefault="00582308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Građanski odgoj i obrazovanje – rashodi za zaposlene 1.</w:t>
      </w:r>
      <w:r>
        <w:rPr>
          <w:rFonts w:ascii="Arial" w:hAnsi="Arial" w:cs="Arial"/>
        </w:rPr>
        <w:t>911,60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</w:p>
    <w:p w:rsidR="00F67306" w:rsidRDefault="00582308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troškovi plaće i ostalih materijalnih prava za psihologa 10</w:t>
      </w:r>
      <w:r>
        <w:rPr>
          <w:rFonts w:ascii="Arial" w:hAnsi="Arial" w:cs="Arial"/>
        </w:rPr>
        <w:t>.061,07 eura</w:t>
      </w:r>
    </w:p>
    <w:p w:rsidR="00F67306" w:rsidRDefault="00582308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troškovi uzorkovanja vode </w:t>
      </w:r>
      <w:r>
        <w:rPr>
          <w:rFonts w:ascii="Arial" w:hAnsi="Arial" w:cs="Arial"/>
        </w:rPr>
        <w:t>1.405,73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</w:p>
    <w:p w:rsidR="00F67306" w:rsidRDefault="00582308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troškovi investicijskog održavanja  iznad standarda 772,62 eura</w:t>
      </w:r>
    </w:p>
    <w:p w:rsidR="00F67306" w:rsidRDefault="00582308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ulaganja u učionicu u masliniku 15.633,63 eura</w:t>
      </w:r>
    </w:p>
    <w:p w:rsidR="00F67306" w:rsidRDefault="00582308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opremanje knjižnice</w:t>
      </w:r>
      <w:r>
        <w:rPr>
          <w:rFonts w:ascii="Arial" w:hAnsi="Arial" w:cs="Arial"/>
        </w:rPr>
        <w:t xml:space="preserve"> 320,00 </w:t>
      </w:r>
      <w:r>
        <w:rPr>
          <w:rFonts w:ascii="Arial" w:hAnsi="Arial" w:cs="Arial"/>
        </w:rPr>
        <w:t>eur</w:t>
      </w:r>
      <w:r>
        <w:rPr>
          <w:rFonts w:ascii="Arial" w:hAnsi="Arial" w:cs="Arial"/>
        </w:rPr>
        <w:t>a</w:t>
      </w:r>
    </w:p>
    <w:p w:rsidR="00F67306" w:rsidRDefault="00582308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zaposlene u iznosu </w:t>
      </w:r>
      <w:r>
        <w:rPr>
          <w:rFonts w:ascii="Arial" w:hAnsi="Arial" w:cs="Arial"/>
        </w:rPr>
        <w:t>53.553,32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(plaće  i ostali rashodi za pomoćnike u nastavi – MOZAIK 7)</w:t>
      </w:r>
    </w:p>
    <w:p w:rsidR="00F67306" w:rsidRDefault="00F67306">
      <w:pPr>
        <w:pStyle w:val="Odlomakpopisa"/>
        <w:spacing w:line="276" w:lineRule="auto"/>
        <w:ind w:left="502"/>
        <w:jc w:val="both"/>
        <w:rPr>
          <w:rFonts w:ascii="Arial" w:hAnsi="Arial" w:cs="Arial"/>
          <w:color w:val="FF0000"/>
        </w:rPr>
      </w:pPr>
    </w:p>
    <w:p w:rsidR="00F67306" w:rsidRDefault="00582308">
      <w:pPr>
        <w:pStyle w:val="Odlomakpopisa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za posebne namjene – sufinanciranje roditelja </w:t>
      </w:r>
      <w:r>
        <w:rPr>
          <w:rFonts w:ascii="Arial" w:hAnsi="Arial" w:cs="Arial"/>
        </w:rPr>
        <w:t>financiraju se troškovi namirnica za ručak, dio rashoda za plaće učiteljica u produženom boravku te troškovi terenske nastave u iznosu od 24</w:t>
      </w:r>
      <w:r>
        <w:rPr>
          <w:rFonts w:ascii="Arial" w:hAnsi="Arial" w:cs="Arial"/>
        </w:rPr>
        <w:t>.628,21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a.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Naplaćeni prihodi od </w:t>
      </w:r>
      <w:r>
        <w:rPr>
          <w:rFonts w:ascii="Arial" w:hAnsi="Arial" w:cs="Arial"/>
        </w:rPr>
        <w:t xml:space="preserve">prodaje proizvoda i </w:t>
      </w:r>
      <w:r>
        <w:rPr>
          <w:rFonts w:ascii="Arial" w:hAnsi="Arial" w:cs="Arial"/>
        </w:rPr>
        <w:t xml:space="preserve">pružanja usluga  </w:t>
      </w:r>
      <w:proofErr w:type="spellStart"/>
      <w:r>
        <w:rPr>
          <w:rFonts w:ascii="Arial" w:hAnsi="Arial" w:cs="Arial"/>
        </w:rPr>
        <w:t>n</w:t>
      </w:r>
      <w:r>
        <w:rPr>
          <w:rFonts w:ascii="Arial" w:hAnsi="Arial" w:cs="Arial"/>
        </w:rPr>
        <w:t>amjenjeni</w:t>
      </w:r>
      <w:proofErr w:type="spellEnd"/>
      <w:r>
        <w:rPr>
          <w:rFonts w:ascii="Arial" w:hAnsi="Arial" w:cs="Arial"/>
        </w:rPr>
        <w:t xml:space="preserve"> su 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sufinanciranje troškova energije </w:t>
      </w:r>
      <w:r>
        <w:rPr>
          <w:rFonts w:ascii="Arial" w:hAnsi="Arial" w:cs="Arial"/>
        </w:rPr>
        <w:t>i ostalih materijalnih rashoda u iznosu od  6.893,54 eura.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Prihodi od donacija odnose se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primljena sredstva </w:t>
      </w:r>
      <w:r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nabavu </w:t>
      </w:r>
      <w:r>
        <w:rPr>
          <w:rFonts w:ascii="Arial" w:hAnsi="Arial" w:cs="Arial"/>
        </w:rPr>
        <w:t xml:space="preserve">hladnjaka, </w:t>
      </w:r>
      <w:r>
        <w:rPr>
          <w:rFonts w:ascii="Arial" w:hAnsi="Arial" w:cs="Arial"/>
        </w:rPr>
        <w:t>troškove organizacije terenske nastave te nabavu klima uređaja koji će biti utrošeni tijekom 2026 godine zajedno sa sredstvima od osiguranja u ukupnom iznosu od 9.979,87 eura.</w:t>
      </w:r>
      <w:r>
        <w:rPr>
          <w:rFonts w:ascii="Arial" w:hAnsi="Arial" w:cs="Arial"/>
          <w:bCs/>
        </w:rPr>
        <w:t xml:space="preserve">  </w:t>
      </w:r>
    </w:p>
    <w:p w:rsidR="00F67306" w:rsidRDefault="00F67306">
      <w:pPr>
        <w:spacing w:line="276" w:lineRule="auto"/>
        <w:rPr>
          <w:rFonts w:ascii="Arial" w:hAnsi="Arial" w:cs="Arial"/>
          <w:bCs/>
        </w:rPr>
      </w:pPr>
    </w:p>
    <w:p w:rsidR="00F67306" w:rsidRDefault="00F67306">
      <w:pPr>
        <w:spacing w:line="276" w:lineRule="auto"/>
        <w:rPr>
          <w:rFonts w:ascii="Arial" w:hAnsi="Arial" w:cs="Arial"/>
          <w:bCs/>
        </w:rPr>
      </w:pPr>
    </w:p>
    <w:p w:rsidR="00F67306" w:rsidRDefault="00582308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Škola je 31.kolovoza 2025. godine ukinula vlastiti žiro-račun jer ulaskom u </w:t>
      </w:r>
      <w:r>
        <w:rPr>
          <w:rFonts w:ascii="Arial" w:hAnsi="Arial" w:cs="Arial"/>
          <w:bCs/>
        </w:rPr>
        <w:t xml:space="preserve">riznicu Istarske županije sa danom 15.07.2025. godine sva plaćanja i uplate </w:t>
      </w:r>
      <w:proofErr w:type="spellStart"/>
      <w:r>
        <w:rPr>
          <w:rFonts w:ascii="Arial" w:hAnsi="Arial" w:cs="Arial"/>
          <w:bCs/>
        </w:rPr>
        <w:t>provodese</w:t>
      </w:r>
      <w:proofErr w:type="spellEnd"/>
      <w:r>
        <w:rPr>
          <w:rFonts w:ascii="Arial" w:hAnsi="Arial" w:cs="Arial"/>
          <w:bCs/>
        </w:rPr>
        <w:t xml:space="preserve"> preko žiro-računa proračuna Istarske županije, odnosno Istarska županija provodi sva plaćanja i evidentira uplate za svoje proračunske korisnike.</w:t>
      </w:r>
    </w:p>
    <w:p w:rsidR="00F67306" w:rsidRDefault="00F67306">
      <w:pPr>
        <w:spacing w:line="276" w:lineRule="auto"/>
        <w:rPr>
          <w:rFonts w:ascii="Arial" w:hAnsi="Arial" w:cs="Arial"/>
          <w:bCs/>
        </w:rPr>
      </w:pPr>
    </w:p>
    <w:p w:rsidR="00F67306" w:rsidRDefault="00F67306">
      <w:pPr>
        <w:spacing w:line="276" w:lineRule="auto"/>
        <w:rPr>
          <w:rFonts w:ascii="Arial" w:hAnsi="Arial" w:cs="Arial"/>
          <w:bCs/>
        </w:rPr>
      </w:pPr>
    </w:p>
    <w:p w:rsidR="00F67306" w:rsidRDefault="0058230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OBRAZLOŽENJE POSEBNOG </w:t>
      </w:r>
      <w:r>
        <w:rPr>
          <w:rFonts w:ascii="Arial" w:hAnsi="Arial" w:cs="Arial"/>
          <w:b/>
          <w:bCs/>
        </w:rPr>
        <w:t xml:space="preserve">DIJELA </w:t>
      </w:r>
    </w:p>
    <w:p w:rsidR="00F67306" w:rsidRDefault="00F67306">
      <w:pPr>
        <w:jc w:val="both"/>
        <w:rPr>
          <w:rFonts w:ascii="Arial" w:hAnsi="Arial" w:cs="Arial"/>
          <w:b/>
          <w:bCs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nastavku se opisuju ostvareni programi, aktivnosti i projekti škole, zajedno s pripadajućim ciljevima i pokazateljima uspješnosti. Ciljevi su usklađeni sa strateškim dokumentom Provedbeni program Istarske županije 2022.-2025.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2101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REDO</w:t>
      </w:r>
      <w:r>
        <w:rPr>
          <w:rFonts w:ascii="Arial" w:hAnsi="Arial" w:cs="Arial"/>
          <w:b/>
          <w:bCs/>
        </w:rPr>
        <w:t>VNA DJELATNOST OSNOVNIH ŠKOLA – MINIMALNI STANDARD</w:t>
      </w: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A210101: MATERIJALNI RASHODI OŠ PO KRITERIJIMA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Redovna djelatnost škola financirana je iz decentraliziranih sredstava IŽ iz koje se financiraju materijalni i financijski rashodi, rashodi za </w:t>
      </w:r>
      <w:r>
        <w:rPr>
          <w:rFonts w:ascii="Arial" w:hAnsi="Arial" w:cs="Arial"/>
        </w:rPr>
        <w:t>materijal i dijelove za tekuće i investicijsko održavanje, usluge tekućeg i investicijskog održavanja. Izračun mjesečne dotacije provodi se na temelju izračuna po broju učenika (</w:t>
      </w:r>
      <w:r>
        <w:rPr>
          <w:rFonts w:ascii="Arial" w:hAnsi="Arial" w:cs="Arial"/>
        </w:rPr>
        <w:t>6,00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učeniku), po broju razrednih odjela (</w:t>
      </w:r>
      <w:r>
        <w:rPr>
          <w:rFonts w:ascii="Arial" w:hAnsi="Arial" w:cs="Arial"/>
        </w:rPr>
        <w:t>50,00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odjelu) i za u</w:t>
      </w:r>
      <w:r>
        <w:rPr>
          <w:rFonts w:ascii="Arial" w:hAnsi="Arial" w:cs="Arial"/>
        </w:rPr>
        <w:t>stanovu (</w:t>
      </w:r>
      <w:r>
        <w:rPr>
          <w:rFonts w:ascii="Arial" w:hAnsi="Arial" w:cs="Arial"/>
        </w:rPr>
        <w:t>330,00</w:t>
      </w:r>
      <w:r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građevini). Sredstva se troše namjenski i to samo za financiranje materijalnih i financijskih rashoda (prema ekonomskoj klasifikaciji) nužnih za realizaciju nastavnog plana i programa.</w:t>
      </w: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AKTIVNOST A210102 MATERIJALNI RASHODI OŠ PO STVARNOM TROŠKU 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U ovoj aktivnosti planirani su materijalni rashodi škole po stvarnom trošku, a odnose se na zdravstvene preglede djelatnika i prijevoz učenika. Troškovi se podmiruju iz decentraliziranih sredstav</w:t>
      </w:r>
      <w:r>
        <w:rPr>
          <w:rFonts w:ascii="Arial" w:hAnsi="Arial" w:cs="Arial"/>
          <w:color w:val="000000" w:themeColor="text1"/>
        </w:rPr>
        <w:t>a IŽ.</w:t>
      </w: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AKTIVNOST A210103 MATERIJALNI RASHODI OŠ PO STVARNOM TROŠKU </w:t>
      </w:r>
      <w:r>
        <w:rPr>
          <w:rFonts w:ascii="Arial" w:hAnsi="Arial" w:cs="Arial"/>
          <w:color w:val="000000" w:themeColor="text1"/>
        </w:rPr>
        <w:t>- DRUGI IZVORI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Ovom aktivnošću obuhvaćeno je financiranje dijela troškova za energente</w:t>
      </w:r>
      <w:r>
        <w:rPr>
          <w:rFonts w:ascii="Arial" w:hAnsi="Arial" w:cs="Arial"/>
          <w:color w:val="000000" w:themeColor="text1"/>
        </w:rPr>
        <w:t xml:space="preserve"> i ostalih materijalnih troškova</w:t>
      </w:r>
      <w:r>
        <w:rPr>
          <w:rFonts w:ascii="Arial" w:hAnsi="Arial" w:cs="Arial"/>
          <w:color w:val="000000" w:themeColor="text1"/>
        </w:rPr>
        <w:t xml:space="preserve"> iz vlastitih prihoda škole.</w:t>
      </w: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AKTIVNOST A210104 PLAĆE I DRUGI RASHODI ZA </w:t>
      </w:r>
      <w:r>
        <w:rPr>
          <w:rFonts w:ascii="Arial" w:hAnsi="Arial" w:cs="Arial"/>
        </w:rPr>
        <w:t>ZAPOSLENE OŠ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Aktivnost se odnosi na troškove plaća, ostale rashodi za zaposlene (prigodne nagrade i pomoći), doprinose iz i na plaću, naknade za prijevoz, rad na terenu i odvojeni život, a podmiruju se iz državnog proračuna, odnosno nadležnog ministarstva </w:t>
      </w:r>
      <w:r>
        <w:rPr>
          <w:rFonts w:ascii="Arial" w:hAnsi="Arial" w:cs="Arial"/>
        </w:rPr>
        <w:t>za obrazovanje.</w:t>
      </w:r>
    </w:p>
    <w:p w:rsidR="00F67306" w:rsidRDefault="00F67306">
      <w:pPr>
        <w:spacing w:line="276" w:lineRule="auto"/>
        <w:ind w:left="708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 USPJEŠNOSTI (mjere iz Provedbenog programa IŽ 2022-2025)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2.1.2. Osiguranje i poboljšanje dostupnosti obrazovanja djeci i roditeljima/starateljima – za aktivnosti A210101, A210102, A210103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2.1.8.  Osiguranje kvalitetnog odgojno obrazov</w:t>
      </w:r>
      <w:r>
        <w:rPr>
          <w:rFonts w:ascii="Arial" w:hAnsi="Arial" w:cs="Arial"/>
        </w:rPr>
        <w:t>nog kadra i suradnje ključnih aktera – za aktivnost A210104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Ciljevi su ostvareni.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mjeru 2.1.2.</w:t>
      </w:r>
    </w:p>
    <w:tbl>
      <w:tblPr>
        <w:tblW w:w="4338" w:type="pct"/>
        <w:tblLook w:val="04A0" w:firstRow="1" w:lastRow="0" w:firstColumn="1" w:lastColumn="0" w:noHBand="0" w:noVBand="1"/>
      </w:tblPr>
      <w:tblGrid>
        <w:gridCol w:w="2793"/>
        <w:gridCol w:w="1327"/>
        <w:gridCol w:w="1197"/>
        <w:gridCol w:w="1126"/>
        <w:gridCol w:w="1428"/>
      </w:tblGrid>
      <w:tr w:rsidR="00F67306">
        <w:trPr>
          <w:trHeight w:val="340"/>
        </w:trPr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pokazatelj rezultata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početna vrijednost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16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OSTVARENO 1-12/202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5</w:t>
            </w:r>
          </w:p>
        </w:tc>
      </w:tr>
      <w:tr w:rsidR="00F67306">
        <w:trPr>
          <w:trHeight w:val="340"/>
        </w:trPr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Pokrivanje materijalnih troškova potrebnih za </w:t>
            </w:r>
            <w:r>
              <w:rPr>
                <w:rFonts w:ascii="Arial" w:hAnsi="Arial" w:cs="Arial"/>
                <w:color w:val="000000"/>
                <w:sz w:val="18"/>
                <w:szCs w:val="16"/>
              </w:rPr>
              <w:t>nesmetano odvijanje nastavnog procesa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16.074,12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6"/>
              </w:rPr>
              <w:t>eur</w:t>
            </w:r>
            <w:proofErr w:type="spellEnd"/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kontinuirano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19.440,00</w:t>
            </w: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6"/>
              </w:rPr>
              <w:t>eur</w:t>
            </w:r>
            <w:proofErr w:type="spellEnd"/>
          </w:p>
        </w:tc>
      </w:tr>
      <w:tr w:rsidR="00F67306">
        <w:trPr>
          <w:trHeight w:val="340"/>
        </w:trPr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Pokrivanje troškova prijevoza učenika, zdravstvenih pregleda radnika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141.232,58</w:t>
            </w:r>
            <w:r>
              <w:rPr>
                <w:rFonts w:ascii="Arial" w:hAnsi="Arial" w:cs="Arial"/>
                <w:color w:val="000000"/>
                <w:sz w:val="18"/>
                <w:szCs w:val="16"/>
              </w:rPr>
              <w:t>ur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kontinuirano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163.609,50</w:t>
            </w: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6"/>
              </w:rPr>
              <w:t>eur</w:t>
            </w:r>
            <w:proofErr w:type="spellEnd"/>
          </w:p>
        </w:tc>
      </w:tr>
    </w:tbl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mjeru 2.1.8.</w:t>
      </w:r>
    </w:p>
    <w:tbl>
      <w:tblPr>
        <w:tblW w:w="4309" w:type="pct"/>
        <w:tblLook w:val="04A0" w:firstRow="1" w:lastRow="0" w:firstColumn="1" w:lastColumn="0" w:noHBand="0" w:noVBand="1"/>
      </w:tblPr>
      <w:tblGrid>
        <w:gridCol w:w="2180"/>
        <w:gridCol w:w="1504"/>
        <w:gridCol w:w="1378"/>
        <w:gridCol w:w="1378"/>
        <w:gridCol w:w="1378"/>
      </w:tblGrid>
      <w:tr w:rsidR="00F67306">
        <w:trPr>
          <w:trHeight w:val="675"/>
        </w:trPr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početna vrijednost – broj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zaposl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1-12/202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F67306">
        <w:trPr>
          <w:trHeight w:val="675"/>
        </w:trPr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Redovita isplata plaća i ostalih rashoda za zaposlene - riznica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</w:tbl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 2102: REDOVNA DJELATNOST OSNOVNIH ŠKOLA – IZNAD STANDARDA</w:t>
      </w:r>
    </w:p>
    <w:p w:rsidR="00F67306" w:rsidRDefault="00F67306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AKTIVNOST A210201 MATERIJALNI </w:t>
      </w:r>
      <w:r>
        <w:rPr>
          <w:rFonts w:ascii="Arial" w:hAnsi="Arial" w:cs="Arial"/>
          <w:bCs/>
        </w:rPr>
        <w:t>RASHODI OŠ PO STVARNOM TROŠKU IZNAD STANDARDA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Aktivnost Materijalni rashodi OŠ po stvarnom trošku iznad standarda obuhvaća financiranje troškova energenata (električna energija, lož ulje i plin), </w:t>
      </w:r>
      <w:r>
        <w:rPr>
          <w:rFonts w:ascii="Arial" w:hAnsi="Arial" w:cs="Arial"/>
        </w:rPr>
        <w:t>dio troškova prijevoza učenika,</w:t>
      </w:r>
      <w:r>
        <w:rPr>
          <w:rFonts w:ascii="Arial" w:hAnsi="Arial" w:cs="Arial"/>
        </w:rPr>
        <w:t xml:space="preserve"> osiguranja imovine i osoba, troškova tekućeg održavanja radi neometanog odvijanja nastavnog procesa. Sredstva se osiguravaju iz županijskog proračuna.</w:t>
      </w:r>
    </w:p>
    <w:p w:rsidR="00F67306" w:rsidRDefault="00F67306">
      <w:pPr>
        <w:spacing w:line="276" w:lineRule="auto"/>
        <w:ind w:left="708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 USPJEŠNOSTI (mjere iz Provedbenog programa IŽ 2022-2025)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2.1.2. Osiguranje i poboljšanje dostupnos</w:t>
      </w:r>
      <w:r>
        <w:rPr>
          <w:rFonts w:ascii="Arial" w:hAnsi="Arial" w:cs="Arial"/>
        </w:rPr>
        <w:t>ti odgoja i obrazovanja djeci i njihovim roditeljima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 je ostvaren.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mjeru 2.1.2.</w:t>
      </w:r>
    </w:p>
    <w:tbl>
      <w:tblPr>
        <w:tblW w:w="4323" w:type="pct"/>
        <w:tblLook w:val="04A0" w:firstRow="1" w:lastRow="0" w:firstColumn="1" w:lastColumn="0" w:noHBand="0" w:noVBand="1"/>
      </w:tblPr>
      <w:tblGrid>
        <w:gridCol w:w="2811"/>
        <w:gridCol w:w="1327"/>
        <w:gridCol w:w="1277"/>
        <w:gridCol w:w="1102"/>
        <w:gridCol w:w="1327"/>
      </w:tblGrid>
      <w:tr w:rsidR="00F67306">
        <w:trPr>
          <w:trHeight w:val="624"/>
        </w:trPr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početna vrijednost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OSTVARENO 1-12/202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5</w:t>
            </w:r>
          </w:p>
        </w:tc>
      </w:tr>
      <w:tr w:rsidR="00F67306">
        <w:trPr>
          <w:trHeight w:val="624"/>
        </w:trPr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troškova energenata, troškova usluga održavanja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 premije osiguranja za nesmetano odvijanje nastavnog procesa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783,42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61.083,62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083,62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</w:tr>
    </w:tbl>
    <w:p w:rsidR="00F67306" w:rsidRDefault="00F67306">
      <w:pPr>
        <w:spacing w:line="276" w:lineRule="auto"/>
        <w:jc w:val="both"/>
        <w:rPr>
          <w:rFonts w:ascii="Arial" w:hAnsi="Arial" w:cs="Arial"/>
          <w:i/>
        </w:rPr>
      </w:pPr>
    </w:p>
    <w:p w:rsidR="00F67306" w:rsidRDefault="00F67306">
      <w:pPr>
        <w:spacing w:line="276" w:lineRule="auto"/>
        <w:jc w:val="both"/>
        <w:rPr>
          <w:rFonts w:ascii="Arial" w:hAnsi="Arial" w:cs="Arial"/>
          <w:i/>
        </w:rPr>
      </w:pPr>
    </w:p>
    <w:p w:rsidR="00F67306" w:rsidRDefault="00582308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 2301 i 2302: PROGRAMI OBRAZOVANJA – IZNAD STANDARDA</w:t>
      </w:r>
    </w:p>
    <w:p w:rsidR="00F67306" w:rsidRDefault="00F67306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AKTVNOST A230102: ŽUPANIJSKA NATJECANJA</w:t>
      </w:r>
    </w:p>
    <w:p w:rsidR="00F67306" w:rsidRDefault="00582308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Ž</w:t>
      </w:r>
      <w:r>
        <w:rPr>
          <w:rFonts w:ascii="Arial" w:hAnsi="Arial" w:cs="Arial"/>
          <w:bCs/>
        </w:rPr>
        <w:t xml:space="preserve">upanijska natjecanja odnose se na financiranje </w:t>
      </w:r>
      <w:r>
        <w:rPr>
          <w:rFonts w:ascii="Arial" w:hAnsi="Arial" w:cs="Arial"/>
          <w:bCs/>
        </w:rPr>
        <w:t>prijevoza učenika na natjecanjima znanja i sportskim natjecanjima na županijskoj razini. Troškovi se financiraju sredstvima Istarske županije</w:t>
      </w:r>
      <w:r>
        <w:rPr>
          <w:rFonts w:ascii="Arial" w:hAnsi="Arial" w:cs="Arial"/>
          <w:bCs/>
        </w:rPr>
        <w:t xml:space="preserve"> i sredstvima Sportskog saveza IŽ.</w:t>
      </w:r>
    </w:p>
    <w:p w:rsidR="00F67306" w:rsidRDefault="00F67306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A230106: ŠKOLSKA KUHINJA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Polaznici produženog boravka korist</w:t>
      </w: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ručak k</w:t>
      </w:r>
      <w:r>
        <w:rPr>
          <w:rFonts w:ascii="Arial" w:hAnsi="Arial" w:cs="Arial"/>
          <w:bCs/>
        </w:rPr>
        <w:t xml:space="preserve">oji financiraju roditelji-skrbnici u iznosu od </w:t>
      </w:r>
      <w:r>
        <w:rPr>
          <w:rFonts w:ascii="Arial" w:hAnsi="Arial" w:cs="Arial"/>
          <w:bCs/>
        </w:rPr>
        <w:t xml:space="preserve"> 1,80</w:t>
      </w:r>
      <w:r>
        <w:rPr>
          <w:rFonts w:ascii="Arial" w:hAnsi="Arial" w:cs="Arial"/>
          <w:bCs/>
        </w:rPr>
        <w:t xml:space="preserve"> eur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po obroku</w:t>
      </w:r>
      <w:r>
        <w:rPr>
          <w:rFonts w:ascii="Arial" w:hAnsi="Arial" w:cs="Arial"/>
          <w:bCs/>
        </w:rPr>
        <w:t xml:space="preserve">.  Gotovo svi učenici korisnici su školske marende. </w:t>
      </w:r>
    </w:p>
    <w:p w:rsidR="00F67306" w:rsidRDefault="00F67306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A230104: POMOĆNICI U NASTAVI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o</w:t>
      </w:r>
      <w:r>
        <w:rPr>
          <w:rFonts w:ascii="Arial" w:hAnsi="Arial" w:cs="Arial"/>
        </w:rPr>
        <w:t xml:space="preserve">buhvaća </w:t>
      </w:r>
      <w:r>
        <w:rPr>
          <w:rFonts w:ascii="Arial" w:hAnsi="Arial" w:cs="Arial"/>
          <w:iCs/>
        </w:rPr>
        <w:t xml:space="preserve">osiguravanje pomoćnika u nastavi i stručnih komunikacijskih posrednika </w:t>
      </w:r>
      <w:r>
        <w:rPr>
          <w:rFonts w:ascii="Arial" w:hAnsi="Arial" w:cs="Arial"/>
          <w:iCs/>
        </w:rPr>
        <w:t>učenicima s teškoćama u razvoju u osnovnoškolskim i srednjoškolskim odgojno-obrazovnim ustanovama</w:t>
      </w:r>
      <w:r>
        <w:rPr>
          <w:rFonts w:ascii="Arial" w:hAnsi="Arial" w:cs="Arial"/>
        </w:rPr>
        <w:t xml:space="preserve"> u kojima je osnivač Istarska župani</w:t>
      </w:r>
      <w:r>
        <w:rPr>
          <w:rFonts w:ascii="Arial" w:hAnsi="Arial" w:cs="Arial"/>
        </w:rPr>
        <w:t>ji, a koji nisu u projektu MOZAIK</w:t>
      </w:r>
      <w:r>
        <w:rPr>
          <w:rFonts w:ascii="Arial" w:hAnsi="Arial" w:cs="Arial"/>
        </w:rPr>
        <w:t>. Osiguranje pomoćnika učenicima s teškoćama u razvoju poboljšava njihov odgojno-obrazovni</w:t>
      </w:r>
      <w:r>
        <w:rPr>
          <w:rFonts w:ascii="Arial" w:hAnsi="Arial" w:cs="Arial"/>
        </w:rPr>
        <w:t xml:space="preserve"> uspjeh, potiče uspješniju socijalizaciju i emocionalno funkcioniranje te donosi napredak u razvoju vještina i sposobnosti u školskoj sredini.</w:t>
      </w:r>
    </w:p>
    <w:p w:rsidR="00F67306" w:rsidRDefault="00F67306">
      <w:pPr>
        <w:pStyle w:val="Odlomakpopisa"/>
        <w:spacing w:after="0" w:line="276" w:lineRule="auto"/>
        <w:ind w:left="0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AKTIVNOST 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230107: PRODUŽENI BORAVAK</w:t>
      </w:r>
    </w:p>
    <w:p w:rsidR="00F67306" w:rsidRDefault="00582308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Produženi boravak neobvezan je oblik odgojno-obrazovnog rada namijenjen uče</w:t>
      </w:r>
      <w:r>
        <w:rPr>
          <w:rFonts w:ascii="Arial" w:hAnsi="Arial" w:cs="Arial"/>
          <w:bCs/>
        </w:rPr>
        <w:t xml:space="preserve">nicima razredne nastave koji se provodi izvan redovite nastave i ima svoje pedagoške, odgojne, zdravstvene i socijalne vrijednosti. Program produženog boravka provodi se dugi niz godina. U novoj školskoj godini organizirane su 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heterogene grupe učenika u </w:t>
      </w:r>
      <w:r>
        <w:rPr>
          <w:rFonts w:ascii="Arial" w:hAnsi="Arial" w:cs="Arial"/>
          <w:bCs/>
        </w:rPr>
        <w:t>produženom boravku</w:t>
      </w:r>
      <w:r>
        <w:rPr>
          <w:rFonts w:ascii="Arial" w:hAnsi="Arial" w:cs="Arial"/>
          <w:bCs/>
        </w:rPr>
        <w:t>.</w:t>
      </w:r>
    </w:p>
    <w:p w:rsidR="00F67306" w:rsidRDefault="00582308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Učenici su u rad produženog boravka uključeni na bazi ugovora koji roditelji-skrbnici sklapaju početkom nastavne godine na vrijeme od 10 mjeseci po cijeni </w:t>
      </w:r>
      <w:r>
        <w:rPr>
          <w:rFonts w:ascii="Arial" w:hAnsi="Arial" w:cs="Arial"/>
          <w:bCs/>
        </w:rPr>
        <w:t>20,00 odnosno 30,00</w:t>
      </w:r>
      <w:r>
        <w:rPr>
          <w:rFonts w:ascii="Arial" w:hAnsi="Arial" w:cs="Arial"/>
          <w:bCs/>
        </w:rPr>
        <w:t>eur mjesečno čime se sufinanciraju plaće učitelja u produženom</w:t>
      </w:r>
      <w:r>
        <w:rPr>
          <w:rFonts w:ascii="Arial" w:hAnsi="Arial" w:cs="Arial"/>
          <w:bCs/>
        </w:rPr>
        <w:t xml:space="preserve"> boravku. Trenutno uslugu produženog boravka koristi </w:t>
      </w:r>
      <w:r>
        <w:rPr>
          <w:rFonts w:ascii="Arial" w:hAnsi="Arial" w:cs="Arial"/>
          <w:bCs/>
        </w:rPr>
        <w:t>46</w:t>
      </w:r>
      <w:r>
        <w:rPr>
          <w:rFonts w:ascii="Arial" w:hAnsi="Arial" w:cs="Arial"/>
          <w:bCs/>
        </w:rPr>
        <w:t xml:space="preserve"> učenika.</w:t>
      </w:r>
    </w:p>
    <w:p w:rsidR="00F67306" w:rsidRDefault="00582308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Ostatak troškova plaća učitelja u produženom boravku financiraju </w:t>
      </w:r>
      <w:proofErr w:type="spellStart"/>
      <w:r>
        <w:rPr>
          <w:rFonts w:ascii="Arial" w:hAnsi="Arial" w:cs="Arial"/>
          <w:bCs/>
        </w:rPr>
        <w:t>Iž</w:t>
      </w:r>
      <w:proofErr w:type="spellEnd"/>
      <w:r>
        <w:rPr>
          <w:rFonts w:ascii="Arial" w:hAnsi="Arial" w:cs="Arial"/>
          <w:bCs/>
        </w:rPr>
        <w:t xml:space="preserve"> i </w:t>
      </w:r>
      <w:r>
        <w:rPr>
          <w:rFonts w:ascii="Arial" w:hAnsi="Arial" w:cs="Arial"/>
          <w:bCs/>
        </w:rPr>
        <w:t>Općina Barban</w:t>
      </w:r>
      <w:r>
        <w:rPr>
          <w:rFonts w:ascii="Arial" w:hAnsi="Arial" w:cs="Arial"/>
          <w:bCs/>
        </w:rPr>
        <w:t xml:space="preserve"> u omjeru 50%:50%.</w:t>
      </w:r>
    </w:p>
    <w:p w:rsidR="00F67306" w:rsidRDefault="00F67306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 230112: ROBOTIKA</w:t>
      </w:r>
    </w:p>
    <w:p w:rsidR="00F67306" w:rsidRDefault="00582308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Robotika je namjenski prihod koji financira Općina Barban, a</w:t>
      </w:r>
      <w:r>
        <w:rPr>
          <w:rFonts w:ascii="Arial" w:hAnsi="Arial" w:cs="Arial"/>
          <w:bCs/>
        </w:rPr>
        <w:t xml:space="preserve"> odnosi se na natjecanje učenika u robotici kao prateća manifestacija poznate Trke na </w:t>
      </w:r>
      <w:proofErr w:type="spellStart"/>
      <w:r>
        <w:rPr>
          <w:rFonts w:ascii="Arial" w:hAnsi="Arial" w:cs="Arial"/>
          <w:bCs/>
        </w:rPr>
        <w:t>prstenac</w:t>
      </w:r>
      <w:proofErr w:type="spellEnd"/>
      <w:r>
        <w:rPr>
          <w:rFonts w:ascii="Arial" w:hAnsi="Arial" w:cs="Arial"/>
          <w:bCs/>
        </w:rPr>
        <w:t>.</w:t>
      </w:r>
    </w:p>
    <w:p w:rsidR="00F67306" w:rsidRDefault="00582308">
      <w:pPr>
        <w:pStyle w:val="Odlomakpopisa"/>
        <w:spacing w:after="0"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A230115 OSTALI PROGRAMI</w:t>
      </w:r>
    </w:p>
    <w:p w:rsidR="00F67306" w:rsidRDefault="00582308">
      <w:pPr>
        <w:pStyle w:val="Odlomakpopisa"/>
        <w:spacing w:after="0" w:line="276" w:lineRule="auto"/>
        <w:ind w:left="330" w:hangingChars="150" w:hanging="33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ab/>
        <w:t xml:space="preserve">   Nadležno ministarstvo za obrazovanje financiralo je nabavu </w:t>
      </w:r>
      <w:proofErr w:type="spellStart"/>
      <w:r>
        <w:rPr>
          <w:rFonts w:ascii="Arial" w:hAnsi="Arial" w:cs="Arial"/>
          <w:bCs/>
        </w:rPr>
        <w:t>psihodijagnostičkih</w:t>
      </w:r>
      <w:proofErr w:type="spellEnd"/>
      <w:r>
        <w:rPr>
          <w:rFonts w:ascii="Arial" w:hAnsi="Arial" w:cs="Arial"/>
          <w:bCs/>
        </w:rPr>
        <w:t xml:space="preserve"> sredstava</w:t>
      </w:r>
      <w:r>
        <w:rPr>
          <w:rFonts w:ascii="Arial" w:hAnsi="Arial" w:cs="Arial"/>
          <w:bCs/>
          <w:i/>
          <w:iCs/>
        </w:rPr>
        <w:t>.</w:t>
      </w:r>
    </w:p>
    <w:p w:rsidR="00F67306" w:rsidRDefault="00F67306">
      <w:pPr>
        <w:pStyle w:val="Odlomakpopisa"/>
        <w:spacing w:after="0" w:line="276" w:lineRule="auto"/>
        <w:ind w:left="330" w:hangingChars="150" w:hanging="330"/>
        <w:jc w:val="both"/>
        <w:rPr>
          <w:rFonts w:ascii="Arial" w:hAnsi="Arial" w:cs="Arial"/>
          <w:bCs/>
          <w:i/>
          <w:i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AKTIVNOST 230116: </w:t>
      </w:r>
      <w:r>
        <w:rPr>
          <w:rFonts w:ascii="Arial" w:hAnsi="Arial" w:cs="Arial"/>
          <w:bCs/>
        </w:rPr>
        <w:t>Š</w:t>
      </w:r>
      <w:r>
        <w:rPr>
          <w:rFonts w:ascii="Arial" w:hAnsi="Arial" w:cs="Arial"/>
          <w:bCs/>
        </w:rPr>
        <w:t>KOLSKI LIS</w:t>
      </w:r>
      <w:r>
        <w:rPr>
          <w:rFonts w:ascii="Arial" w:hAnsi="Arial" w:cs="Arial"/>
          <w:bCs/>
        </w:rPr>
        <w:t>T, ČASOPISI I KNJIGE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Nadležno ministarstvo za obrazovanje financira nabavu udžbenika za sve učenike osnovne škole. </w:t>
      </w: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AKTIVNOST 2301</w:t>
      </w:r>
      <w:r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NAGRADE ZA UČENIKE</w:t>
      </w:r>
    </w:p>
    <w:p w:rsidR="00F67306" w:rsidRDefault="00582308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Nagrade učenika su namjenski prihodi Općine Barban namijenjen učenicima koji su postigli najbolji uspjeh</w:t>
      </w:r>
      <w:r>
        <w:rPr>
          <w:rFonts w:ascii="Arial" w:hAnsi="Arial" w:cs="Arial"/>
          <w:bCs/>
        </w:rPr>
        <w:t xml:space="preserve"> tijekom osmogodišnjeg školovanja.</w:t>
      </w:r>
    </w:p>
    <w:p w:rsidR="00F67306" w:rsidRDefault="00F67306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A230163: IZLETI I TERENSKA NASTAVA</w:t>
      </w:r>
    </w:p>
    <w:p w:rsidR="00F67306" w:rsidRDefault="00582308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Izleti i terenska nastava odnose se na financiranje troškova izleta i terenske nastave od strane roditelja</w:t>
      </w:r>
      <w:r>
        <w:rPr>
          <w:rFonts w:ascii="Arial" w:hAnsi="Arial" w:cs="Arial"/>
          <w:bCs/>
        </w:rPr>
        <w:t>; Općine Barban za učenike bez jednog roditelja ili od nadležnog Mini</w:t>
      </w:r>
      <w:r>
        <w:rPr>
          <w:rFonts w:ascii="Arial" w:hAnsi="Arial" w:cs="Arial"/>
          <w:bCs/>
        </w:rPr>
        <w:t>starstva za učenike pripadnike nacionalnih manjina.</w:t>
      </w:r>
    </w:p>
    <w:p w:rsidR="00F67306" w:rsidRDefault="00F67306">
      <w:pPr>
        <w:pStyle w:val="Odlomakpopisa"/>
        <w:spacing w:after="0" w:line="276" w:lineRule="auto"/>
        <w:ind w:left="0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A230170 UČENIČKA ZADRUGA</w:t>
      </w:r>
    </w:p>
    <w:p w:rsidR="00F67306" w:rsidRDefault="00582308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>čenička zadruga obuhvaća prihode učeničke zadruge „</w:t>
      </w:r>
      <w:proofErr w:type="spellStart"/>
      <w:r>
        <w:rPr>
          <w:rFonts w:ascii="Arial" w:hAnsi="Arial" w:cs="Arial"/>
          <w:bCs/>
        </w:rPr>
        <w:t>Smokvenjak</w:t>
      </w:r>
      <w:proofErr w:type="spellEnd"/>
      <w:r>
        <w:rPr>
          <w:rFonts w:ascii="Arial" w:hAnsi="Arial" w:cs="Arial"/>
          <w:bCs/>
        </w:rPr>
        <w:t>“. Učenici svojim radovima sudje</w:t>
      </w:r>
      <w:r>
        <w:rPr>
          <w:rFonts w:ascii="Arial" w:hAnsi="Arial" w:cs="Arial"/>
          <w:bCs/>
        </w:rPr>
        <w:t xml:space="preserve">luju </w:t>
      </w:r>
      <w:r>
        <w:rPr>
          <w:rFonts w:ascii="Arial" w:hAnsi="Arial" w:cs="Arial"/>
          <w:bCs/>
        </w:rPr>
        <w:t>na raznim eventima u lokalnoj zajednici.</w:t>
      </w:r>
    </w:p>
    <w:p w:rsidR="00F67306" w:rsidRDefault="00F67306">
      <w:pPr>
        <w:pStyle w:val="Odlomakpopisa"/>
        <w:spacing w:after="0" w:line="276" w:lineRule="auto"/>
        <w:ind w:left="0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AKTIVNOST 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230184: ZAVI</w:t>
      </w:r>
      <w:r>
        <w:rPr>
          <w:rFonts w:ascii="Arial" w:hAnsi="Arial" w:cs="Arial"/>
          <w:bCs/>
        </w:rPr>
        <w:t>Č</w:t>
      </w:r>
      <w:r>
        <w:rPr>
          <w:rFonts w:ascii="Arial" w:hAnsi="Arial" w:cs="Arial"/>
          <w:bCs/>
        </w:rPr>
        <w:t>AJNA NASTAVA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Ideja o Zavičajnoj nastavi na području Istarske županije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 njena implementacija u predškolske i školske ustanove inicirana je s ciljem očuvanja istarskih posebnosti, bogate multikulturalnosti, povijesti i tradicije. Voljeti svoj kraj uči se o</w:t>
      </w:r>
      <w:r>
        <w:rPr>
          <w:rFonts w:ascii="Arial" w:hAnsi="Arial" w:cs="Arial"/>
        </w:rPr>
        <w:t>d malih nogu, što je i polazišna točka samog projekta koji djecu želi upoznati sa šarolikim multikulturnim istarskim identitetom, njenom tradicijom, običajima i poviješću. Sredstva za troškove provedbe projekta osigurava osnivač</w:t>
      </w:r>
      <w:r>
        <w:rPr>
          <w:rFonts w:ascii="Arial" w:hAnsi="Arial" w:cs="Arial"/>
        </w:rPr>
        <w:t>.</w:t>
      </w:r>
    </w:p>
    <w:p w:rsidR="00F67306" w:rsidRDefault="00F67306">
      <w:pPr>
        <w:spacing w:line="276" w:lineRule="auto"/>
        <w:ind w:left="708"/>
        <w:jc w:val="both"/>
        <w:rPr>
          <w:rFonts w:ascii="Arial" w:hAnsi="Arial" w:cs="Arial"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A230199: ŠKOLSK</w:t>
      </w:r>
      <w:r>
        <w:rPr>
          <w:rFonts w:ascii="Arial" w:hAnsi="Arial" w:cs="Arial"/>
          <w:bCs/>
        </w:rPr>
        <w:t>A SHEMA</w:t>
      </w:r>
    </w:p>
    <w:p w:rsidR="00F67306" w:rsidRDefault="00582308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Školska shema odnosi se na financiranje Agencije za plaćanja u poljoprivredi, ribarstvu i ruralnom razvoju svježeg voća, mlijeka i mliječnih proizvoda za svu djecu osnovne škole.</w:t>
      </w:r>
    </w:p>
    <w:p w:rsidR="00F67306" w:rsidRDefault="00F67306">
      <w:pPr>
        <w:pStyle w:val="Odlomakpopisa"/>
        <w:spacing w:after="0" w:line="276" w:lineRule="auto"/>
        <w:ind w:left="0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230202: GRAĐANSKI ODGOJ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Građanski odgoj i obrazovanje (GOO</w:t>
      </w:r>
      <w:r>
        <w:rPr>
          <w:rFonts w:ascii="Arial" w:hAnsi="Arial" w:cs="Arial"/>
          <w:bCs/>
        </w:rPr>
        <w:t>), kao izvannastavna aktivnost za učenike viših razreda, područje je odgoja i obrazovanja kojim se kod učenika i učenica razvijaju znanja, sposobnosti i vještine demokratske vrijednosti i stavovi, važni za odgovorno i aktivno sudjelovanje u društvu. Učitel</w:t>
      </w:r>
      <w:r>
        <w:rPr>
          <w:rFonts w:ascii="Arial" w:hAnsi="Arial" w:cs="Arial"/>
          <w:bCs/>
        </w:rPr>
        <w:t>jice koje provode program prošle su cjelovitu edukaciju svih područja GOO-a. Uvođenje ovog programa pokrenula je Istarska županija u školskoj godini 2018/2019. u našoj i još deset škola kao eksperimentalni program u izvannastavnoj aktivnosti</w:t>
      </w:r>
      <w:r>
        <w:rPr>
          <w:rFonts w:ascii="Arial" w:hAnsi="Arial" w:cs="Arial"/>
          <w:bCs/>
        </w:rPr>
        <w:t xml:space="preserve"> dok ga sada</w:t>
      </w:r>
      <w:r>
        <w:rPr>
          <w:rFonts w:ascii="Arial" w:hAnsi="Arial" w:cs="Arial"/>
          <w:bCs/>
        </w:rPr>
        <w:t xml:space="preserve"> pr</w:t>
      </w:r>
      <w:r>
        <w:rPr>
          <w:rFonts w:ascii="Arial" w:hAnsi="Arial" w:cs="Arial"/>
          <w:bCs/>
        </w:rPr>
        <w:t>ovodi većina škola.</w:t>
      </w:r>
    </w:p>
    <w:p w:rsidR="00F67306" w:rsidRDefault="00F67306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230203: MEDNI DAN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 školskog mednog dana i promocije hrvatskih pčelara u organizaciji je Agencije za plaćanje u poljoprivredi, ribarstvu i ruralnom razvoju. Na dan Sv. Ambrozija, zaštitnika pčela i pčelara, nastavnici p</w:t>
      </w:r>
      <w:r>
        <w:rPr>
          <w:rFonts w:ascii="Arial" w:hAnsi="Arial" w:cs="Arial"/>
          <w:bCs/>
        </w:rPr>
        <w:t>utem edukativne slikovnice i edukativne prezentacije prilagođene dobi djece prvog razr</w:t>
      </w:r>
      <w:r>
        <w:rPr>
          <w:rFonts w:ascii="Arial" w:hAnsi="Arial" w:cs="Arial"/>
          <w:bCs/>
        </w:rPr>
        <w:t>eda</w:t>
      </w:r>
      <w:r>
        <w:rPr>
          <w:rFonts w:ascii="Arial" w:hAnsi="Arial" w:cs="Arial"/>
          <w:bCs/>
        </w:rPr>
        <w:t>, održavaju radionice za djecu o važnosti i značaju pčelarstva.</w:t>
      </w:r>
    </w:p>
    <w:p w:rsidR="00F67306" w:rsidRDefault="00F67306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230208: PREHRANA ZA UČENIKE U OŠ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Radi se aktivnosti koja je započela u siječnju 2023. godine</w:t>
      </w:r>
      <w:r>
        <w:rPr>
          <w:rFonts w:ascii="Arial" w:hAnsi="Arial" w:cs="Arial"/>
          <w:bCs/>
        </w:rPr>
        <w:t xml:space="preserve">, a odnosi se na osiguravanje besplatne prehrane - marende za sve učenike OŠ. Sredstva se doznačuju iz državnog proračuna (MZO), do 1,33 </w:t>
      </w:r>
      <w:proofErr w:type="spellStart"/>
      <w:r>
        <w:rPr>
          <w:rFonts w:ascii="Arial" w:hAnsi="Arial" w:cs="Arial"/>
          <w:bCs/>
        </w:rPr>
        <w:t>eur</w:t>
      </w:r>
      <w:proofErr w:type="spellEnd"/>
      <w:r>
        <w:rPr>
          <w:rFonts w:ascii="Arial" w:hAnsi="Arial" w:cs="Arial"/>
          <w:bCs/>
        </w:rPr>
        <w:t xml:space="preserve"> po obroku/učeniku dnevno. Planirani su rashodi po realnoj procjeni ostvarenja istih koji služe za financiranje preh</w:t>
      </w:r>
      <w:r>
        <w:rPr>
          <w:rFonts w:ascii="Arial" w:hAnsi="Arial" w:cs="Arial"/>
          <w:bCs/>
        </w:rPr>
        <w:t xml:space="preserve">rane učenika dok borave u školi u skladu s propisanim normativima koje donosi ministarstvo nadležno za zdravstvo. Tjedni jelovnik objavljuje se na web stranici škole. U cilju očuvanja zdravlja učenika u školi se </w:t>
      </w:r>
      <w:r>
        <w:rPr>
          <w:rFonts w:ascii="Arial" w:hAnsi="Arial" w:cs="Arial"/>
          <w:bCs/>
        </w:rPr>
        <w:t>svakodnevno spremaju</w:t>
      </w:r>
      <w:r>
        <w:rPr>
          <w:rFonts w:ascii="Arial" w:hAnsi="Arial" w:cs="Arial"/>
          <w:bCs/>
        </w:rPr>
        <w:t xml:space="preserve"> kuhani obroci. Prehrana</w:t>
      </w:r>
      <w:r>
        <w:rPr>
          <w:rFonts w:ascii="Arial" w:hAnsi="Arial" w:cs="Arial"/>
          <w:bCs/>
        </w:rPr>
        <w:t xml:space="preserve"> se poslužuje u blagovaonici</w:t>
      </w:r>
      <w:r>
        <w:rPr>
          <w:rFonts w:ascii="Arial" w:hAnsi="Arial" w:cs="Arial"/>
          <w:bCs/>
        </w:rPr>
        <w:t xml:space="preserve"> i holu</w:t>
      </w:r>
      <w:r>
        <w:rPr>
          <w:rFonts w:ascii="Arial" w:hAnsi="Arial" w:cs="Arial"/>
          <w:bCs/>
        </w:rPr>
        <w:t xml:space="preserve"> škole.</w:t>
      </w:r>
    </w:p>
    <w:p w:rsidR="00F67306" w:rsidRDefault="00F67306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230209: MENSTRUALNE I HIGIJENSKE POTREPŠTINE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Za ovu aktivnost se isto sredstva osiguravaju iz državnog proračuna (nadležnost Ministarstva rada, mir. sustava, obitelji i socijalne politike). Doznačeno je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283,50</w:t>
      </w:r>
      <w:r>
        <w:rPr>
          <w:rFonts w:ascii="Arial" w:hAnsi="Arial" w:cs="Arial"/>
          <w:bCs/>
        </w:rPr>
        <w:t xml:space="preserve"> eur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.</w:t>
      </w:r>
    </w:p>
    <w:p w:rsidR="00F67306" w:rsidRDefault="00F67306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:rsidR="00F67306" w:rsidRDefault="00582308">
      <w:pPr>
        <w:numPr>
          <w:ilvl w:val="1"/>
          <w:numId w:val="4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230211-ŠKOLSKI PSIHOLOZI-program zaštite mentalnog zdravlja djece i adolescenata  projekt je kojeg provodi Istarska županija financirajući psihologa na pola radnog vremena.</w:t>
      </w:r>
    </w:p>
    <w:p w:rsidR="00F67306" w:rsidRDefault="00582308">
      <w:pPr>
        <w:numPr>
          <w:ilvl w:val="1"/>
          <w:numId w:val="4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AKTIVNOST: UZORKOVANJE VODE I IZRADA PROCJENE RIZIKA VODOVODNE MREŽE </w:t>
      </w:r>
    </w:p>
    <w:p w:rsidR="00F67306" w:rsidRDefault="0058230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Aktivnost obuhvaća mikrobiološku analizu vode iz slavine, a provodi ju Nastavni zavod za javno zdravstvo Istarske županije. Sredstva su osigurana u proračunu Županije.</w:t>
      </w:r>
      <w:r>
        <w:rPr>
          <w:rFonts w:ascii="Arial" w:hAnsi="Arial" w:cs="Arial"/>
          <w:bCs/>
        </w:rPr>
        <w:t xml:space="preserve"> </w:t>
      </w:r>
    </w:p>
    <w:p w:rsidR="00F67306" w:rsidRDefault="00F67306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</w:t>
      </w:r>
      <w:r>
        <w:rPr>
          <w:rFonts w:ascii="Arial" w:hAnsi="Arial" w:cs="Arial"/>
        </w:rPr>
        <w:t xml:space="preserve"> USPJEŠNOSTI (mjere iz Provedbenog programa IŽ 2022-2025)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2.1.2. Osiguranje i poboljšanje dostupnosti obrazovanja djeci i roditeljima/starateljima – za aktivnosti A230106, A230107,</w:t>
      </w:r>
      <w:r>
        <w:rPr>
          <w:rFonts w:ascii="Arial" w:hAnsi="Arial" w:cs="Arial"/>
        </w:rPr>
        <w:t xml:space="preserve"> A230112,</w:t>
      </w:r>
      <w:r>
        <w:rPr>
          <w:rFonts w:ascii="Arial" w:hAnsi="Arial" w:cs="Arial"/>
        </w:rPr>
        <w:t xml:space="preserve"> A230116,</w:t>
      </w:r>
      <w:r>
        <w:rPr>
          <w:rFonts w:ascii="Arial" w:hAnsi="Arial" w:cs="Arial"/>
        </w:rPr>
        <w:t xml:space="preserve"> A230119,</w:t>
      </w:r>
      <w:r>
        <w:rPr>
          <w:rFonts w:ascii="Arial" w:hAnsi="Arial" w:cs="Arial"/>
        </w:rPr>
        <w:t xml:space="preserve"> A230130, A230202, A230208, A230209</w:t>
      </w:r>
      <w:r>
        <w:rPr>
          <w:rFonts w:ascii="Arial" w:hAnsi="Arial" w:cs="Arial"/>
        </w:rPr>
        <w:t>, A230211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2.2.</w:t>
      </w:r>
      <w:r>
        <w:rPr>
          <w:rFonts w:ascii="Arial" w:hAnsi="Arial" w:cs="Arial"/>
        </w:rPr>
        <w:t>6. Unaprjeđenje programa prevencije i ranog otkrivanja bolesti – za aktivnost A230203 (Medni dan) i A230208 (Prehrana za učenike)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2.1.1. Izgradnja, rekonstrukcija, dogradnja i opremanja predškolskih ustanova , osnovnih i srednjih škola, te učeničkih domova</w:t>
      </w:r>
      <w:r>
        <w:rPr>
          <w:rFonts w:ascii="Arial" w:hAnsi="Arial" w:cs="Arial"/>
        </w:rPr>
        <w:t>- za aktivnost A230219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4.1.1. Razvoj zavičajnog identiteta – za aktivnost A230184 (Zavičajna nastava)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Ciljevi su ostvareni.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mjeru 2.1.2.</w:t>
      </w:r>
    </w:p>
    <w:tbl>
      <w:tblPr>
        <w:tblW w:w="4322" w:type="pct"/>
        <w:tblLook w:val="04A0" w:firstRow="1" w:lastRow="0" w:firstColumn="1" w:lastColumn="0" w:noHBand="0" w:noVBand="1"/>
      </w:tblPr>
      <w:tblGrid>
        <w:gridCol w:w="2942"/>
        <w:gridCol w:w="1227"/>
        <w:gridCol w:w="1227"/>
        <w:gridCol w:w="1226"/>
        <w:gridCol w:w="1220"/>
      </w:tblGrid>
      <w:tr w:rsidR="00F67306">
        <w:trPr>
          <w:trHeight w:val="340"/>
        </w:trPr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– broj učenika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1-1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2/202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F67306">
        <w:trPr>
          <w:trHeight w:val="340"/>
        </w:trPr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učenika koji ostvaruju zavidne rezultate na županijskim natjecanjima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67306">
        <w:trPr>
          <w:trHeight w:val="340"/>
        </w:trPr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učenika koji koriste uslugu školske prehrane, priprema zdravih obroka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</w:tr>
      <w:tr w:rsidR="00F67306">
        <w:trPr>
          <w:trHeight w:val="340"/>
        </w:trPr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učenika koji koriste uslugu produženog boravka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F67306">
        <w:trPr>
          <w:trHeight w:val="340"/>
        </w:trPr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Osiguravanje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besplatnih udžbenika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</w:tr>
      <w:tr w:rsidR="00F67306">
        <w:trPr>
          <w:trHeight w:val="340"/>
        </w:trPr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Nagrade za učenike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67306">
        <w:trPr>
          <w:trHeight w:val="340"/>
        </w:trPr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Provođenje nastave građanskog odgoja – projekt koji se provodi s učenicima viših razreda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F67306" w:rsidRDefault="00F67306">
      <w:pPr>
        <w:spacing w:line="276" w:lineRule="auto"/>
        <w:jc w:val="both"/>
        <w:rPr>
          <w:rFonts w:ascii="Arial" w:hAnsi="Arial" w:cs="Arial"/>
          <w:i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mjeru 2.1.1.</w:t>
      </w:r>
    </w:p>
    <w:tbl>
      <w:tblPr>
        <w:tblW w:w="4323" w:type="pct"/>
        <w:tblLook w:val="04A0" w:firstRow="1" w:lastRow="0" w:firstColumn="1" w:lastColumn="0" w:noHBand="0" w:noVBand="1"/>
      </w:tblPr>
      <w:tblGrid>
        <w:gridCol w:w="2938"/>
        <w:gridCol w:w="1228"/>
        <w:gridCol w:w="1228"/>
        <w:gridCol w:w="1228"/>
        <w:gridCol w:w="1222"/>
      </w:tblGrid>
      <w:tr w:rsidR="00F67306">
        <w:trPr>
          <w:trHeight w:val="624"/>
        </w:trPr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(godina)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1-12/202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F67306">
        <w:trPr>
          <w:trHeight w:val="624"/>
        </w:trPr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Ispitivanja mreže i uzorkovanje vode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</w:tr>
    </w:tbl>
    <w:p w:rsidR="00F67306" w:rsidRDefault="00F67306">
      <w:pPr>
        <w:spacing w:line="276" w:lineRule="auto"/>
        <w:jc w:val="both"/>
        <w:rPr>
          <w:rFonts w:ascii="Arial" w:hAnsi="Arial" w:cs="Arial"/>
          <w:iCs/>
        </w:rPr>
      </w:pPr>
    </w:p>
    <w:p w:rsidR="00F67306" w:rsidRDefault="00F67306">
      <w:pPr>
        <w:spacing w:line="276" w:lineRule="auto"/>
        <w:jc w:val="both"/>
        <w:rPr>
          <w:rFonts w:ascii="Arial" w:hAnsi="Arial" w:cs="Arial"/>
          <w:iCs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za mjeru 2.2.6.</w:t>
      </w:r>
    </w:p>
    <w:tbl>
      <w:tblPr>
        <w:tblW w:w="4323" w:type="pct"/>
        <w:tblLook w:val="04A0" w:firstRow="1" w:lastRow="0" w:firstColumn="1" w:lastColumn="0" w:noHBand="0" w:noVBand="1"/>
      </w:tblPr>
      <w:tblGrid>
        <w:gridCol w:w="2938"/>
        <w:gridCol w:w="1228"/>
        <w:gridCol w:w="1228"/>
        <w:gridCol w:w="1228"/>
        <w:gridCol w:w="1222"/>
      </w:tblGrid>
      <w:tr w:rsidR="00F67306">
        <w:trPr>
          <w:trHeight w:val="624"/>
        </w:trPr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(godina)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1-12/202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F67306">
        <w:trPr>
          <w:trHeight w:val="624"/>
        </w:trPr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Broj učenika prvih razreda OŠ kojima su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dodijeljene promotivna staklenka meda i edukativna slikovnica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</w:tbl>
    <w:p w:rsidR="00F67306" w:rsidRDefault="00F67306">
      <w:pPr>
        <w:spacing w:line="276" w:lineRule="auto"/>
        <w:jc w:val="both"/>
        <w:rPr>
          <w:rFonts w:ascii="Arial" w:hAnsi="Arial" w:cs="Arial"/>
          <w:i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za mjeru 4.1.1.</w:t>
      </w:r>
    </w:p>
    <w:tbl>
      <w:tblPr>
        <w:tblW w:w="4323" w:type="pct"/>
        <w:tblLook w:val="04A0" w:firstRow="1" w:lastRow="0" w:firstColumn="1" w:lastColumn="0" w:noHBand="0" w:noVBand="1"/>
      </w:tblPr>
      <w:tblGrid>
        <w:gridCol w:w="2939"/>
        <w:gridCol w:w="1228"/>
        <w:gridCol w:w="1228"/>
        <w:gridCol w:w="1228"/>
        <w:gridCol w:w="1221"/>
      </w:tblGrid>
      <w:tr w:rsidR="00F67306">
        <w:trPr>
          <w:trHeight w:val="454"/>
        </w:trPr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početna vrijednost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1-12/202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F67306">
        <w:trPr>
          <w:trHeight w:val="454"/>
        </w:trPr>
        <w:tc>
          <w:tcPr>
            <w:tcW w:w="18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Broj učenika koji sudjeluju u projektu Zavičajna nastava (poticanje suradnje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među učenicima, inovativnosti, kreativnosti, poduzetništva, korištenje IT tehnologije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itd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</w:tr>
    </w:tbl>
    <w:p w:rsidR="00F67306" w:rsidRDefault="00F67306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F67306" w:rsidRDefault="00582308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 2401: INVESTICIJSKO ODRŽAVANJE OSNOVNIH ŠKOLA</w:t>
      </w:r>
    </w:p>
    <w:p w:rsidR="00F67306" w:rsidRDefault="00F67306">
      <w:pPr>
        <w:spacing w:line="276" w:lineRule="auto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A240101: INVESTICIJSKO ODRŽAVANJE OSNOVNIH ŠKOLA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Decentraliziranim sredstvima </w:t>
      </w:r>
      <w:r>
        <w:rPr>
          <w:rFonts w:ascii="Arial" w:hAnsi="Arial" w:cs="Arial"/>
        </w:rPr>
        <w:t xml:space="preserve">i sredstvima iznad standarda </w:t>
      </w:r>
      <w:r>
        <w:rPr>
          <w:rFonts w:ascii="Arial" w:hAnsi="Arial" w:cs="Arial"/>
        </w:rPr>
        <w:t>iz proračuna IŽ financira se investicijsko i tekuće održavanje škola.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 USPJEŠNOSTI (mjere iz Provedbenog programa IŽ 2022-2025)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2.1.1. Izgradnja, rekonstrukcija, dogradnja i opremanje osnovnih i srednjih škola, te učeničkih</w:t>
      </w:r>
      <w:r>
        <w:rPr>
          <w:rFonts w:ascii="Arial" w:hAnsi="Arial" w:cs="Arial"/>
        </w:rPr>
        <w:t xml:space="preserve"> domova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 je ostvaren</w:t>
      </w:r>
      <w:r>
        <w:rPr>
          <w:rFonts w:ascii="Arial" w:hAnsi="Arial" w:cs="Arial"/>
        </w:rPr>
        <w:t>.(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uređeno je unutarnje igralište te uspješno izvršeno tekuće i investicijsko održavanje</w:t>
      </w:r>
      <w:r>
        <w:rPr>
          <w:rFonts w:ascii="Arial" w:hAnsi="Arial" w:cs="Arial"/>
        </w:rPr>
        <w:t>).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</w:t>
      </w:r>
    </w:p>
    <w:tbl>
      <w:tblPr>
        <w:tblW w:w="4301" w:type="pct"/>
        <w:tblLook w:val="04A0" w:firstRow="1" w:lastRow="0" w:firstColumn="1" w:lastColumn="0" w:noHBand="0" w:noVBand="1"/>
      </w:tblPr>
      <w:tblGrid>
        <w:gridCol w:w="2734"/>
        <w:gridCol w:w="1269"/>
        <w:gridCol w:w="1267"/>
        <w:gridCol w:w="1267"/>
        <w:gridCol w:w="1267"/>
      </w:tblGrid>
      <w:tr w:rsidR="00F67306">
        <w:trPr>
          <w:trHeight w:val="624"/>
        </w:trPr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početna vrijednost </w:t>
            </w:r>
          </w:p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m2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1-12/20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F67306">
        <w:trPr>
          <w:trHeight w:val="624"/>
        </w:trPr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Površina rekonstruiranih,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adaptiranih i/ili saniranih dijelova zgrade OŠ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</w:tbl>
    <w:p w:rsidR="00F67306" w:rsidRDefault="00F67306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 2403: KAPITALNA ULAGANJA U OŠ</w:t>
      </w:r>
    </w:p>
    <w:p w:rsidR="00F67306" w:rsidRDefault="00F67306">
      <w:pPr>
        <w:pStyle w:val="Odlomakpopisa"/>
        <w:spacing w:after="0" w:line="276" w:lineRule="auto"/>
        <w:ind w:left="0"/>
        <w:jc w:val="both"/>
        <w:rPr>
          <w:rFonts w:ascii="Arial" w:hAnsi="Arial" w:cs="Arial"/>
          <w:b/>
          <w:bCs/>
        </w:rPr>
      </w:pPr>
    </w:p>
    <w:p w:rsidR="00F67306" w:rsidRDefault="00582308">
      <w:pPr>
        <w:pStyle w:val="Odlomakpopisa"/>
        <w:spacing w:after="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    AKTIVNOST: 240311 ULAGANJA U OŠ </w:t>
      </w:r>
    </w:p>
    <w:p w:rsidR="00F67306" w:rsidRDefault="00582308">
      <w:pPr>
        <w:pStyle w:val="Odlomakpopisa"/>
        <w:spacing w:after="0" w:line="276" w:lineRule="auto"/>
        <w:ind w:left="110" w:hangingChars="50" w:hanging="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Aktivnost ulaganja u OŠ odnosi se na izgradnju Učionice u masliniku. Aktivnost je financirana sredstvima </w:t>
      </w:r>
      <w:r>
        <w:rPr>
          <w:rFonts w:ascii="Arial" w:hAnsi="Arial" w:cs="Arial"/>
        </w:rPr>
        <w:t>nadležnog proračuna.</w:t>
      </w:r>
    </w:p>
    <w:p w:rsidR="00F67306" w:rsidRDefault="00F67306">
      <w:pPr>
        <w:pStyle w:val="Odlomakpopisa"/>
        <w:spacing w:after="0" w:line="276" w:lineRule="auto"/>
        <w:ind w:left="110" w:hangingChars="50" w:hanging="110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 USPJEŠNOSTI (mjere iz Provedbenog programa IŽ 2022-2025)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2.1.1. Izgradnja, rekonstrukcija, dogradnja i opremanje osnovnih i srednjih škola, te učeničkih domova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je </w:t>
      </w:r>
      <w:proofErr w:type="spellStart"/>
      <w:r>
        <w:rPr>
          <w:rFonts w:ascii="Arial" w:hAnsi="Arial" w:cs="Arial"/>
        </w:rPr>
        <w:t>ostvaren</w:t>
      </w:r>
      <w:r>
        <w:rPr>
          <w:rFonts w:ascii="Arial" w:hAnsi="Arial" w:cs="Arial"/>
        </w:rPr>
        <w:t>.P</w:t>
      </w:r>
      <w:proofErr w:type="spellEnd"/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</w:rPr>
        <w:t>OKAZATELJ USPJEŠNOSTI</w:t>
      </w:r>
    </w:p>
    <w:tbl>
      <w:tblPr>
        <w:tblW w:w="4301" w:type="pct"/>
        <w:tblLook w:val="04A0" w:firstRow="1" w:lastRow="0" w:firstColumn="1" w:lastColumn="0" w:noHBand="0" w:noVBand="1"/>
      </w:tblPr>
      <w:tblGrid>
        <w:gridCol w:w="2734"/>
        <w:gridCol w:w="1269"/>
        <w:gridCol w:w="1267"/>
        <w:gridCol w:w="1267"/>
        <w:gridCol w:w="1267"/>
      </w:tblGrid>
      <w:tr w:rsidR="00F67306">
        <w:trPr>
          <w:trHeight w:val="624"/>
        </w:trPr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pokazatelj rezultata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početna vrijednost </w:t>
            </w:r>
          </w:p>
          <w:p w:rsidR="00F67306" w:rsidRDefault="00F6730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1-12/202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F67306">
        <w:trPr>
          <w:trHeight w:val="624"/>
        </w:trPr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Izgradnja učionice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F67306" w:rsidRDefault="00F67306">
      <w:pPr>
        <w:pStyle w:val="Odlomakpopisa"/>
        <w:spacing w:after="0" w:line="276" w:lineRule="auto"/>
        <w:ind w:left="0"/>
        <w:jc w:val="both"/>
        <w:rPr>
          <w:rFonts w:ascii="Arial" w:hAnsi="Arial" w:cs="Arial"/>
          <w:b/>
          <w:bCs/>
        </w:rPr>
      </w:pPr>
    </w:p>
    <w:p w:rsidR="00F67306" w:rsidRDefault="00F67306">
      <w:pPr>
        <w:pStyle w:val="Odlomakpopisa"/>
        <w:spacing w:after="0" w:line="276" w:lineRule="auto"/>
        <w:ind w:left="0"/>
        <w:jc w:val="both"/>
        <w:rPr>
          <w:rFonts w:ascii="Arial" w:hAnsi="Arial" w:cs="Arial"/>
          <w:b/>
          <w:bCs/>
        </w:rPr>
      </w:pPr>
    </w:p>
    <w:p w:rsidR="00F67306" w:rsidRDefault="00582308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 2405: OPREMANJE U OSNOVNIM ŠKOLAMA</w:t>
      </w:r>
    </w:p>
    <w:p w:rsidR="00F67306" w:rsidRDefault="00F67306">
      <w:pPr>
        <w:spacing w:line="276" w:lineRule="auto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K240501: ŠKOLSKI NAMJEŠTAJ I OPREMA</w:t>
      </w:r>
    </w:p>
    <w:p w:rsidR="00F67306" w:rsidRDefault="00582308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Aktivnost opremanja školskim namještajem i ostalom opremom financira </w:t>
      </w:r>
      <w:r>
        <w:rPr>
          <w:rFonts w:ascii="Arial" w:hAnsi="Arial" w:cs="Arial"/>
          <w:bCs/>
        </w:rPr>
        <w:t>se iz više izvora (vlastitim prihodima najma školske sportske dvorane,</w:t>
      </w:r>
      <w:r>
        <w:rPr>
          <w:rFonts w:ascii="Arial" w:hAnsi="Arial" w:cs="Arial"/>
          <w:bCs/>
        </w:rPr>
        <w:t xml:space="preserve"> donaci</w:t>
      </w:r>
      <w:r>
        <w:rPr>
          <w:rFonts w:ascii="Arial" w:hAnsi="Arial" w:cs="Arial"/>
          <w:bCs/>
        </w:rPr>
        <w:t xml:space="preserve">jama </w:t>
      </w:r>
      <w:r>
        <w:rPr>
          <w:rFonts w:ascii="Arial" w:hAnsi="Arial" w:cs="Arial"/>
          <w:bCs/>
        </w:rPr>
        <w:t>te prihodima Općine Barban.</w:t>
      </w:r>
      <w:r>
        <w:rPr>
          <w:rFonts w:ascii="Arial" w:hAnsi="Arial" w:cs="Arial"/>
          <w:bCs/>
        </w:rPr>
        <w:t xml:space="preserve"> Novim nabavama namještaja, </w:t>
      </w:r>
      <w:r>
        <w:rPr>
          <w:rFonts w:ascii="Arial" w:hAnsi="Arial" w:cs="Arial"/>
          <w:bCs/>
        </w:rPr>
        <w:t>računalne opreme</w:t>
      </w:r>
      <w:r>
        <w:rPr>
          <w:rFonts w:ascii="Arial" w:hAnsi="Arial" w:cs="Arial"/>
          <w:bCs/>
        </w:rPr>
        <w:t xml:space="preserve"> i drugih školskih pomagala nastoji se unaprijediti rad škole sudjelovanjem u suvremenim promjenama, poticanjem uvođenja i primjene novih metoda i oblika nastavnoga rada. </w:t>
      </w:r>
    </w:p>
    <w:p w:rsidR="00F67306" w:rsidRDefault="00F67306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K240502: OPREMANJE KNJIŽNICA</w:t>
      </w:r>
    </w:p>
    <w:p w:rsidR="00F67306" w:rsidRDefault="00582308">
      <w:pPr>
        <w:spacing w:line="276" w:lineRule="auto"/>
        <w:ind w:left="70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Aktivnost opremanja knjižnice obveznom </w:t>
      </w:r>
      <w:r>
        <w:rPr>
          <w:rFonts w:ascii="Arial" w:hAnsi="Arial" w:cs="Arial"/>
          <w:bCs/>
        </w:rPr>
        <w:t>lektirom i ostalim knjižnim fondom financira se nenamjenskim sredstvima osnivača, kao i nadležnog ministarstva.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 USPJEŠNOSTI (mjere iz Provedbenog programa IŽ 2022-2025)</w:t>
      </w:r>
    </w:p>
    <w:p w:rsidR="00F67306" w:rsidRDefault="0058230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2.1.1. Izgradnja, rekonstrukcija, dogradnja i opremanje osnovnih i srednjih škola,</w:t>
      </w:r>
      <w:r>
        <w:rPr>
          <w:rFonts w:ascii="Arial" w:hAnsi="Arial" w:cs="Arial"/>
        </w:rPr>
        <w:t xml:space="preserve"> te učeničkih domova – za aktivnosti </w:t>
      </w:r>
      <w:r>
        <w:rPr>
          <w:rFonts w:ascii="Arial" w:hAnsi="Arial" w:cs="Arial"/>
          <w:bCs/>
        </w:rPr>
        <w:t>K240501, K240502</w:t>
      </w:r>
    </w:p>
    <w:p w:rsidR="00F67306" w:rsidRDefault="00F67306">
      <w:pPr>
        <w:spacing w:line="276" w:lineRule="auto"/>
        <w:jc w:val="both"/>
        <w:rPr>
          <w:rFonts w:ascii="Arial" w:hAnsi="Arial" w:cs="Arial"/>
          <w:bCs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Ciljevi su ostvareni.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tbl>
      <w:tblPr>
        <w:tblW w:w="4322" w:type="pct"/>
        <w:tblLook w:val="04A0" w:firstRow="1" w:lastRow="0" w:firstColumn="1" w:lastColumn="0" w:noHBand="0" w:noVBand="1"/>
      </w:tblPr>
      <w:tblGrid>
        <w:gridCol w:w="2880"/>
        <w:gridCol w:w="1227"/>
        <w:gridCol w:w="1227"/>
        <w:gridCol w:w="1172"/>
        <w:gridCol w:w="1336"/>
      </w:tblGrid>
      <w:tr w:rsidR="00F67306">
        <w:trPr>
          <w:trHeight w:val="624"/>
        </w:trPr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(godina)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1-12/202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F67306">
        <w:trPr>
          <w:trHeight w:val="624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Opremanje školskih knjižnica obveznom lektirom i ostalom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knjižnom građom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Kontinuirano</w:t>
            </w:r>
          </w:p>
        </w:tc>
      </w:tr>
    </w:tbl>
    <w:p w:rsidR="00F67306" w:rsidRDefault="00F67306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:rsidR="00F67306" w:rsidRDefault="00F67306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 92</w:t>
      </w:r>
      <w:r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/92</w:t>
      </w:r>
      <w:r>
        <w:rPr>
          <w:rFonts w:ascii="Arial" w:hAnsi="Arial" w:cs="Arial"/>
          <w:b/>
          <w:bCs/>
        </w:rPr>
        <w:t>20:</w:t>
      </w:r>
      <w:r>
        <w:rPr>
          <w:rFonts w:ascii="Arial" w:hAnsi="Arial" w:cs="Arial"/>
          <w:b/>
          <w:bCs/>
        </w:rPr>
        <w:t xml:space="preserve"> MOZAIK 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– MOZAIK </w:t>
      </w:r>
      <w:r>
        <w:rPr>
          <w:rFonts w:ascii="Arial" w:hAnsi="Arial" w:cs="Arial"/>
          <w:b/>
          <w:bCs/>
        </w:rPr>
        <w:t>7</w:t>
      </w:r>
    </w:p>
    <w:p w:rsidR="00F67306" w:rsidRDefault="00F67306">
      <w:pPr>
        <w:spacing w:line="276" w:lineRule="auto"/>
        <w:jc w:val="both"/>
        <w:rPr>
          <w:rFonts w:ascii="Arial" w:hAnsi="Arial" w:cs="Arial"/>
          <w:bCs/>
        </w:rPr>
      </w:pPr>
    </w:p>
    <w:p w:rsidR="00F67306" w:rsidRDefault="00582308">
      <w:pPr>
        <w:pStyle w:val="Odlomakpopisa"/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T92</w:t>
      </w:r>
      <w:r>
        <w:rPr>
          <w:rFonts w:ascii="Arial" w:hAnsi="Arial" w:cs="Arial"/>
          <w:bCs/>
        </w:rPr>
        <w:t>2001</w:t>
      </w:r>
      <w:r>
        <w:rPr>
          <w:rFonts w:ascii="Arial" w:hAnsi="Arial" w:cs="Arial"/>
          <w:bCs/>
        </w:rPr>
        <w:t xml:space="preserve">: Provedba projekta MOZAIK </w:t>
      </w:r>
      <w:r>
        <w:rPr>
          <w:rFonts w:ascii="Arial" w:hAnsi="Arial" w:cs="Arial"/>
          <w:bCs/>
        </w:rPr>
        <w:t>7</w:t>
      </w:r>
    </w:p>
    <w:p w:rsidR="00F67306" w:rsidRDefault="0058230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MOZAIK je sufinanciran iz sredstava Europskog socijalnog fonda (projekt IŽ) i IŽ. Obuhvaća </w:t>
      </w:r>
      <w:r>
        <w:rPr>
          <w:rFonts w:ascii="Arial" w:hAnsi="Arial" w:cs="Arial"/>
          <w:iCs/>
        </w:rPr>
        <w:t>osiguravanje</w:t>
      </w:r>
      <w:r>
        <w:rPr>
          <w:rFonts w:ascii="Arial" w:hAnsi="Arial" w:cs="Arial"/>
          <w:iCs/>
        </w:rPr>
        <w:t xml:space="preserve"> pomoćnika u nastavi i stručnih komunikacijskih posrednika učenicima s teškoćama u razvoju u osnovnoškolskim i srednjoškolskim odgojno-obrazovnim ustanovama</w:t>
      </w:r>
      <w:r>
        <w:rPr>
          <w:rFonts w:ascii="Arial" w:hAnsi="Arial" w:cs="Arial"/>
        </w:rPr>
        <w:t xml:space="preserve"> u kojima je osnivač Istarska županija. Osiguranje pomoćnika učenicima s teškoćama u razvoju poboljš</w:t>
      </w:r>
      <w:r>
        <w:rPr>
          <w:rFonts w:ascii="Arial" w:hAnsi="Arial" w:cs="Arial"/>
        </w:rPr>
        <w:t>ava njihov odgojno-obrazovni uspjeh, potiče uspješniju socijalizaciju i emocionalno funkcioniranje te donosi napredak u razvoju vještina i sposobnosti u školskoj sredini.</w:t>
      </w:r>
    </w:p>
    <w:p w:rsidR="00F67306" w:rsidRDefault="00F67306">
      <w:pPr>
        <w:spacing w:line="276" w:lineRule="auto"/>
        <w:ind w:firstLine="567"/>
        <w:jc w:val="both"/>
        <w:rPr>
          <w:rFonts w:ascii="Arial" w:eastAsia="Calibri" w:hAnsi="Arial" w:cs="Arial"/>
          <w:b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 USPJEŠNOSTI (mjere iz Provedbenog programa IŽ 2022-2025)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2.1.2. Osiguranje i p</w:t>
      </w:r>
      <w:r>
        <w:rPr>
          <w:rFonts w:ascii="Arial" w:hAnsi="Arial" w:cs="Arial"/>
        </w:rPr>
        <w:t>oboljšanje dostupnosti obrazovanja djeci i roditeljima/starateljima</w:t>
      </w: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Cilj je ostvaren. </w:t>
      </w:r>
      <w:r>
        <w:rPr>
          <w:rFonts w:ascii="Arial" w:hAnsi="Arial" w:cs="Arial"/>
        </w:rPr>
        <w:t>Troje</w:t>
      </w:r>
      <w:r>
        <w:rPr>
          <w:rFonts w:ascii="Arial" w:hAnsi="Arial" w:cs="Arial"/>
        </w:rPr>
        <w:t xml:space="preserve"> učenika imalo je pomoćnike u nastavi.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</w:t>
      </w: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tbl>
      <w:tblPr>
        <w:tblW w:w="7943" w:type="dxa"/>
        <w:tblLook w:val="04A0" w:firstRow="1" w:lastRow="0" w:firstColumn="1" w:lastColumn="0" w:noHBand="0" w:noVBand="1"/>
      </w:tblPr>
      <w:tblGrid>
        <w:gridCol w:w="3701"/>
        <w:gridCol w:w="1369"/>
        <w:gridCol w:w="1314"/>
        <w:gridCol w:w="642"/>
        <w:gridCol w:w="917"/>
      </w:tblGrid>
      <w:tr w:rsidR="00F67306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(godina)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1-12/202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F67306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306" w:rsidRDefault="0058230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pomoćnika za djecu s poteškoćama u razvoju uključene u sustav osnovnoškolskog I srednjoškolskog obrazovanja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F6730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7306" w:rsidRDefault="00582308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:rsidR="00F67306" w:rsidRDefault="00F67306">
      <w:pPr>
        <w:spacing w:line="276" w:lineRule="auto"/>
        <w:ind w:left="6372"/>
        <w:jc w:val="both"/>
        <w:rPr>
          <w:rFonts w:ascii="Arial" w:hAnsi="Arial" w:cs="Arial"/>
          <w:i/>
        </w:rPr>
      </w:pPr>
    </w:p>
    <w:p w:rsidR="00F67306" w:rsidRDefault="00F67306">
      <w:pPr>
        <w:spacing w:line="276" w:lineRule="auto"/>
        <w:jc w:val="both"/>
        <w:rPr>
          <w:rFonts w:ascii="Arial" w:hAnsi="Arial" w:cs="Arial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POSEBNI IZVJEŠTAJI</w:t>
      </w:r>
    </w:p>
    <w:p w:rsidR="00F67306" w:rsidRDefault="00F67306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:rsidR="00F67306" w:rsidRDefault="0058230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Posebni izvještaji u godišnjem izvještaju o izvršenju financijskog plana jesu:</w:t>
      </w:r>
    </w:p>
    <w:p w:rsidR="00F67306" w:rsidRDefault="00582308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izvještaj o korištenju sredstava </w:t>
      </w:r>
      <w:r>
        <w:rPr>
          <w:rFonts w:ascii="Arial" w:hAnsi="Arial" w:cs="Arial"/>
          <w:bCs/>
        </w:rPr>
        <w:t>fondova Europske unije</w:t>
      </w:r>
    </w:p>
    <w:p w:rsidR="00F67306" w:rsidRDefault="00582308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izvještaj o zaduživanju na domaćem i stranom tržištu novca i kapitala</w:t>
      </w:r>
    </w:p>
    <w:p w:rsidR="00F67306" w:rsidRDefault="00582308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izvještaj o danim zajmovima i potraživanjima po danim zajmovima</w:t>
      </w:r>
    </w:p>
    <w:p w:rsidR="00F67306" w:rsidRDefault="00582308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izvještaj o stanju potraživanja i dospjelim obvezama te o stanju potencijalnih obveza</w:t>
      </w:r>
    </w:p>
    <w:p w:rsidR="00F67306" w:rsidRDefault="00582308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osnovi </w:t>
      </w:r>
      <w:r>
        <w:rPr>
          <w:rFonts w:ascii="Arial" w:hAnsi="Arial" w:cs="Arial"/>
          <w:bCs/>
        </w:rPr>
        <w:t>sudskih sporova.</w:t>
      </w:r>
    </w:p>
    <w:p w:rsidR="00F67306" w:rsidRDefault="0058230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 202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 nije bilo osnova za sastavljanje navedenih posebnih izvještaja, tj. ne postoje sporovi, dani ni primljeni zajmovi, zaduživanje, ni korištenje sredstava EU (kod projekta MOZAIK korisnik EU sredstava je osnivač).</w:t>
      </w:r>
    </w:p>
    <w:p w:rsidR="00F67306" w:rsidRDefault="00F67306">
      <w:pPr>
        <w:spacing w:line="276" w:lineRule="auto"/>
        <w:rPr>
          <w:rFonts w:ascii="Arial" w:hAnsi="Arial" w:cs="Arial"/>
          <w:bCs/>
        </w:rPr>
      </w:pPr>
    </w:p>
    <w:p w:rsidR="00F67306" w:rsidRDefault="00F67306">
      <w:pPr>
        <w:spacing w:line="276" w:lineRule="auto"/>
        <w:rPr>
          <w:rFonts w:ascii="Arial" w:hAnsi="Arial" w:cs="Arial"/>
          <w:bCs/>
        </w:rPr>
      </w:pPr>
    </w:p>
    <w:p w:rsidR="00F67306" w:rsidRDefault="00582308">
      <w:pPr>
        <w:spacing w:line="276" w:lineRule="auto"/>
        <w:ind w:left="708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</w:t>
      </w:r>
      <w:r>
        <w:rPr>
          <w:rFonts w:ascii="Arial" w:hAnsi="Arial" w:cs="Arial"/>
          <w:bCs/>
        </w:rPr>
        <w:t xml:space="preserve">                                                                                  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>Ravnateljica:</w:t>
      </w:r>
    </w:p>
    <w:p w:rsidR="00F67306" w:rsidRDefault="00F67306">
      <w:pPr>
        <w:spacing w:line="276" w:lineRule="auto"/>
        <w:jc w:val="right"/>
        <w:rPr>
          <w:rFonts w:ascii="Arial" w:hAnsi="Arial" w:cs="Arial"/>
          <w:bCs/>
        </w:rPr>
      </w:pPr>
    </w:p>
    <w:p w:rsidR="00F67306" w:rsidRDefault="00582308">
      <w:pPr>
        <w:spacing w:line="276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</w:t>
      </w:r>
    </w:p>
    <w:p w:rsidR="00F67306" w:rsidRDefault="00582308">
      <w:pPr>
        <w:wordWrap w:val="0"/>
        <w:spacing w:line="276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Marina Čalić         </w:t>
      </w:r>
    </w:p>
    <w:sectPr w:rsidR="00F67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308" w:rsidRDefault="00582308">
      <w:r>
        <w:separator/>
      </w:r>
    </w:p>
  </w:endnote>
  <w:endnote w:type="continuationSeparator" w:id="0">
    <w:p w:rsidR="00582308" w:rsidRDefault="0058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GaramondLigh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2900005"/>
    </w:sdtPr>
    <w:sdtEndPr/>
    <w:sdtContent>
      <w:p w:rsidR="00F67306" w:rsidRDefault="00582308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7306" w:rsidRDefault="00F673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308" w:rsidRDefault="00582308">
      <w:r>
        <w:separator/>
      </w:r>
    </w:p>
  </w:footnote>
  <w:footnote w:type="continuationSeparator" w:id="0">
    <w:p w:rsidR="00582308" w:rsidRDefault="0058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088CC"/>
    <w:multiLevelType w:val="singleLevel"/>
    <w:tmpl w:val="0C5088C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84B2E86"/>
    <w:multiLevelType w:val="multilevel"/>
    <w:tmpl w:val="184B2E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57D6"/>
    <w:multiLevelType w:val="multilevel"/>
    <w:tmpl w:val="215E57D6"/>
    <w:lvl w:ilvl="0">
      <w:start w:val="3"/>
      <w:numFmt w:val="bullet"/>
      <w:lvlText w:val="-"/>
      <w:lvlJc w:val="left"/>
      <w:pPr>
        <w:ind w:left="502" w:hanging="360"/>
      </w:pPr>
      <w:rPr>
        <w:rFonts w:ascii="HRGaramondLight" w:eastAsia="Times New Roman" w:hAnsi="HRGaramondLight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83A01E5"/>
    <w:multiLevelType w:val="multilevel"/>
    <w:tmpl w:val="283A01E5"/>
    <w:lvl w:ilvl="0">
      <w:start w:val="5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72D05993"/>
    <w:multiLevelType w:val="multilevel"/>
    <w:tmpl w:val="72D0599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0B"/>
    <w:rsid w:val="00003D21"/>
    <w:rsid w:val="00013450"/>
    <w:rsid w:val="00026956"/>
    <w:rsid w:val="00060FC0"/>
    <w:rsid w:val="00084A41"/>
    <w:rsid w:val="00084AF6"/>
    <w:rsid w:val="00086AA9"/>
    <w:rsid w:val="00086D23"/>
    <w:rsid w:val="000B5333"/>
    <w:rsid w:val="001233A7"/>
    <w:rsid w:val="00125D08"/>
    <w:rsid w:val="00136212"/>
    <w:rsid w:val="00136A90"/>
    <w:rsid w:val="00191362"/>
    <w:rsid w:val="00192B6E"/>
    <w:rsid w:val="001936C8"/>
    <w:rsid w:val="001A2619"/>
    <w:rsid w:val="001D22ED"/>
    <w:rsid w:val="002301AC"/>
    <w:rsid w:val="00265ECA"/>
    <w:rsid w:val="0027231E"/>
    <w:rsid w:val="00283010"/>
    <w:rsid w:val="002A1CDC"/>
    <w:rsid w:val="002A39A3"/>
    <w:rsid w:val="002B4CB3"/>
    <w:rsid w:val="002C232D"/>
    <w:rsid w:val="002E3B17"/>
    <w:rsid w:val="002E4828"/>
    <w:rsid w:val="002F2559"/>
    <w:rsid w:val="00306935"/>
    <w:rsid w:val="00311DEB"/>
    <w:rsid w:val="0034717D"/>
    <w:rsid w:val="00347647"/>
    <w:rsid w:val="00371FD7"/>
    <w:rsid w:val="00372988"/>
    <w:rsid w:val="003748BE"/>
    <w:rsid w:val="0039034F"/>
    <w:rsid w:val="00397AA4"/>
    <w:rsid w:val="003C799A"/>
    <w:rsid w:val="003F2612"/>
    <w:rsid w:val="003F4925"/>
    <w:rsid w:val="0040371D"/>
    <w:rsid w:val="004179C7"/>
    <w:rsid w:val="00430D59"/>
    <w:rsid w:val="00435EB5"/>
    <w:rsid w:val="004366D9"/>
    <w:rsid w:val="00444F5D"/>
    <w:rsid w:val="0044512D"/>
    <w:rsid w:val="00460DCA"/>
    <w:rsid w:val="004A2192"/>
    <w:rsid w:val="004B3098"/>
    <w:rsid w:val="004C0B56"/>
    <w:rsid w:val="004F00EC"/>
    <w:rsid w:val="00523C99"/>
    <w:rsid w:val="005251E7"/>
    <w:rsid w:val="00525265"/>
    <w:rsid w:val="00541420"/>
    <w:rsid w:val="00573F8C"/>
    <w:rsid w:val="0057417E"/>
    <w:rsid w:val="00582308"/>
    <w:rsid w:val="005D53B5"/>
    <w:rsid w:val="005E2ED2"/>
    <w:rsid w:val="00607632"/>
    <w:rsid w:val="00644FC6"/>
    <w:rsid w:val="006570C6"/>
    <w:rsid w:val="00675D70"/>
    <w:rsid w:val="00687F56"/>
    <w:rsid w:val="006B103D"/>
    <w:rsid w:val="006D6EB5"/>
    <w:rsid w:val="006E4B7F"/>
    <w:rsid w:val="006F5221"/>
    <w:rsid w:val="00710122"/>
    <w:rsid w:val="00727831"/>
    <w:rsid w:val="007328DE"/>
    <w:rsid w:val="0073429A"/>
    <w:rsid w:val="00742F5E"/>
    <w:rsid w:val="00745E39"/>
    <w:rsid w:val="00756E78"/>
    <w:rsid w:val="00786D4F"/>
    <w:rsid w:val="00793C83"/>
    <w:rsid w:val="00794CEB"/>
    <w:rsid w:val="007A71AD"/>
    <w:rsid w:val="007C6F64"/>
    <w:rsid w:val="007D15A4"/>
    <w:rsid w:val="007D302C"/>
    <w:rsid w:val="007E5179"/>
    <w:rsid w:val="008043A1"/>
    <w:rsid w:val="00805F64"/>
    <w:rsid w:val="008064BA"/>
    <w:rsid w:val="00892D1C"/>
    <w:rsid w:val="008A672F"/>
    <w:rsid w:val="008A76CD"/>
    <w:rsid w:val="008B04E7"/>
    <w:rsid w:val="008B7EFE"/>
    <w:rsid w:val="008E2853"/>
    <w:rsid w:val="008E60F8"/>
    <w:rsid w:val="008F6B0B"/>
    <w:rsid w:val="009116BB"/>
    <w:rsid w:val="009434F2"/>
    <w:rsid w:val="009602F0"/>
    <w:rsid w:val="00975BB9"/>
    <w:rsid w:val="00995AE2"/>
    <w:rsid w:val="0099676A"/>
    <w:rsid w:val="009E1B1E"/>
    <w:rsid w:val="009E7BB5"/>
    <w:rsid w:val="009F638E"/>
    <w:rsid w:val="00A12711"/>
    <w:rsid w:val="00A36ABB"/>
    <w:rsid w:val="00A5180F"/>
    <w:rsid w:val="00A56742"/>
    <w:rsid w:val="00A61A6C"/>
    <w:rsid w:val="00A7412B"/>
    <w:rsid w:val="00A84C17"/>
    <w:rsid w:val="00A8511D"/>
    <w:rsid w:val="00A858BD"/>
    <w:rsid w:val="00A9793E"/>
    <w:rsid w:val="00B00D69"/>
    <w:rsid w:val="00B02FFF"/>
    <w:rsid w:val="00B10BAC"/>
    <w:rsid w:val="00B24610"/>
    <w:rsid w:val="00B35724"/>
    <w:rsid w:val="00B43E04"/>
    <w:rsid w:val="00BD21F9"/>
    <w:rsid w:val="00BD7A3B"/>
    <w:rsid w:val="00BE52DC"/>
    <w:rsid w:val="00BF1F19"/>
    <w:rsid w:val="00C03B0B"/>
    <w:rsid w:val="00C317DC"/>
    <w:rsid w:val="00C45DC9"/>
    <w:rsid w:val="00C613CD"/>
    <w:rsid w:val="00C86926"/>
    <w:rsid w:val="00CA3B8A"/>
    <w:rsid w:val="00D17586"/>
    <w:rsid w:val="00D3578E"/>
    <w:rsid w:val="00D35AB8"/>
    <w:rsid w:val="00D42C90"/>
    <w:rsid w:val="00D466A6"/>
    <w:rsid w:val="00D62409"/>
    <w:rsid w:val="00DA49E5"/>
    <w:rsid w:val="00DA56FB"/>
    <w:rsid w:val="00DB7EC2"/>
    <w:rsid w:val="00DD209F"/>
    <w:rsid w:val="00DD3A1A"/>
    <w:rsid w:val="00DD665E"/>
    <w:rsid w:val="00E05774"/>
    <w:rsid w:val="00E1408E"/>
    <w:rsid w:val="00E23543"/>
    <w:rsid w:val="00E24944"/>
    <w:rsid w:val="00E37B41"/>
    <w:rsid w:val="00E432A6"/>
    <w:rsid w:val="00E5528F"/>
    <w:rsid w:val="00E61B0D"/>
    <w:rsid w:val="00E61D5C"/>
    <w:rsid w:val="00E76B85"/>
    <w:rsid w:val="00E971C9"/>
    <w:rsid w:val="00EB6BFB"/>
    <w:rsid w:val="00ED1BDC"/>
    <w:rsid w:val="00EF0ACA"/>
    <w:rsid w:val="00F235F5"/>
    <w:rsid w:val="00F40BB5"/>
    <w:rsid w:val="00F67306"/>
    <w:rsid w:val="00F84820"/>
    <w:rsid w:val="00FF553E"/>
    <w:rsid w:val="034D4929"/>
    <w:rsid w:val="03682ACF"/>
    <w:rsid w:val="05990F6D"/>
    <w:rsid w:val="0680334F"/>
    <w:rsid w:val="0A631AEF"/>
    <w:rsid w:val="0B5506E3"/>
    <w:rsid w:val="0D297381"/>
    <w:rsid w:val="0D64666F"/>
    <w:rsid w:val="12180BBD"/>
    <w:rsid w:val="1F1962AE"/>
    <w:rsid w:val="21C23E76"/>
    <w:rsid w:val="25D13509"/>
    <w:rsid w:val="2F4A689A"/>
    <w:rsid w:val="31376EFA"/>
    <w:rsid w:val="31CD663B"/>
    <w:rsid w:val="34485F3C"/>
    <w:rsid w:val="3B1B443C"/>
    <w:rsid w:val="3F454897"/>
    <w:rsid w:val="42E86041"/>
    <w:rsid w:val="47452B91"/>
    <w:rsid w:val="51F01E77"/>
    <w:rsid w:val="5AE40034"/>
    <w:rsid w:val="5B421BE9"/>
    <w:rsid w:val="5B4472DE"/>
    <w:rsid w:val="5E291575"/>
    <w:rsid w:val="634D0F2E"/>
    <w:rsid w:val="6A4219A0"/>
    <w:rsid w:val="6A481109"/>
    <w:rsid w:val="6CE101D3"/>
    <w:rsid w:val="6D3943F5"/>
    <w:rsid w:val="6FB56020"/>
    <w:rsid w:val="79EC2B92"/>
    <w:rsid w:val="7C12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8DA75-0966-4DBE-874D-00FFAA33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hAnsi="Calibri" w:cs="Calibri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BezproredaChar">
    <w:name w:val="Bez proreda Char"/>
    <w:basedOn w:val="Zadanifontodlomka"/>
    <w:link w:val="Bezproreda"/>
    <w:uiPriority w:val="1"/>
    <w:qFormat/>
    <w:locked/>
    <w:rPr>
      <w:rFonts w:ascii="Calibri" w:hAnsi="Calibri" w:cs="Calibri"/>
    </w:rPr>
  </w:style>
  <w:style w:type="paragraph" w:styleId="Bezproreda">
    <w:name w:val="No Spacing"/>
    <w:basedOn w:val="Normal"/>
    <w:link w:val="BezproredaChar"/>
    <w:uiPriority w:val="1"/>
    <w:qFormat/>
  </w:style>
  <w:style w:type="paragraph" w:styleId="Odlomakpopisa">
    <w:name w:val="List Paragraph"/>
    <w:basedOn w:val="Normal"/>
    <w:uiPriority w:val="34"/>
    <w:qFormat/>
    <w:pPr>
      <w:spacing w:after="160" w:line="252" w:lineRule="auto"/>
      <w:ind w:left="720"/>
      <w:contextualSpacing/>
    </w:pPr>
  </w:style>
  <w:style w:type="character" w:customStyle="1" w:styleId="InternetLink">
    <w:name w:val="Internet Link"/>
    <w:basedOn w:val="Zadanifontodlomka"/>
    <w:qFormat/>
    <w:rPr>
      <w:color w:val="000080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hAnsi="Calibri" w:cs="Calibri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B45D-C908-42D2-BEA7-D571AB5A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3495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Tajnica</cp:lastModifiedBy>
  <cp:revision>2</cp:revision>
  <cp:lastPrinted>2026-03-16T08:43:00Z</cp:lastPrinted>
  <dcterms:created xsi:type="dcterms:W3CDTF">2026-03-25T13:28:00Z</dcterms:created>
  <dcterms:modified xsi:type="dcterms:W3CDTF">2026-03-25T13:28:00Z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FF2E08646DC14025963824322B9D014D_12</vt:lpwstr>
  </property>
</Properties>
</file>