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597C9">
      <w:pPr>
        <w:rPr>
          <w:rFonts w:hint="default" w:ascii="Arial" w:hAnsi="Arial" w:cs="Arial"/>
          <w:b/>
          <w:bCs/>
          <w:sz w:val="22"/>
          <w:szCs w:val="22"/>
          <w:lang w:val="hr-HR"/>
        </w:rPr>
      </w:pPr>
      <w:r>
        <w:rPr>
          <w:rFonts w:hint="default" w:ascii="Arial" w:hAnsi="Arial" w:cs="Arial"/>
          <w:b/>
          <w:bCs/>
          <w:sz w:val="22"/>
          <w:szCs w:val="22"/>
          <w:lang w:val="hr-HR"/>
        </w:rPr>
        <w:t>OSNOVNA ŠKOLA JURE FILIPOVIĆA BARBAN</w:t>
      </w:r>
    </w:p>
    <w:p w14:paraId="41776B1B">
      <w:pPr>
        <w:rPr>
          <w:rFonts w:hint="default" w:ascii="Arial" w:hAnsi="Arial" w:cs="Arial"/>
          <w:b/>
          <w:bCs/>
          <w:sz w:val="22"/>
          <w:szCs w:val="22"/>
          <w:lang w:val="hr-HR"/>
        </w:rPr>
      </w:pPr>
      <w:r>
        <w:rPr>
          <w:rFonts w:hint="default" w:ascii="Arial" w:hAnsi="Arial" w:cs="Arial"/>
          <w:b/>
          <w:bCs/>
          <w:sz w:val="22"/>
          <w:szCs w:val="22"/>
          <w:lang w:val="hr-HR"/>
        </w:rPr>
        <w:t>Barban 150, 52207 Barban</w:t>
      </w:r>
    </w:p>
    <w:p w14:paraId="5AA814BC">
      <w:pPr>
        <w:rPr>
          <w:rFonts w:hint="default" w:ascii="Arial" w:hAnsi="Arial" w:cs="Arial"/>
          <w:b/>
          <w:bCs/>
          <w:sz w:val="22"/>
          <w:szCs w:val="22"/>
          <w:lang w:val="hr-HR"/>
        </w:rPr>
      </w:pPr>
      <w:r>
        <w:rPr>
          <w:rFonts w:hint="default" w:ascii="Arial" w:hAnsi="Arial" w:cs="Arial"/>
          <w:b/>
          <w:bCs/>
          <w:sz w:val="22"/>
          <w:szCs w:val="22"/>
        </w:rPr>
        <w:t>OBRAZLOŽENJE</w:t>
      </w:r>
      <w:r>
        <w:rPr>
          <w:rFonts w:hint="default" w:ascii="Arial" w:hAnsi="Arial" w:cs="Arial"/>
          <w:b/>
          <w:bCs/>
          <w:sz w:val="22"/>
          <w:szCs w:val="22"/>
          <w:lang w:val="hr-HR"/>
        </w:rPr>
        <w:t xml:space="preserve"> GODIŠNJEG IZVJEŠTAJA O IZVRŠENJU FINANCIJSKOG PLANA ZA RAZDOBLJE  01.01.-31.12.2024. GODINE</w:t>
      </w:r>
    </w:p>
    <w:p w14:paraId="34155A3D">
      <w:pPr>
        <w:rPr>
          <w:rFonts w:hint="default" w:ascii="Arial" w:hAnsi="Arial" w:cs="Arial"/>
          <w:b/>
          <w:bCs/>
          <w:sz w:val="22"/>
          <w:szCs w:val="22"/>
        </w:rPr>
      </w:pPr>
      <w:r>
        <w:rPr>
          <w:rFonts w:hint="default" w:ascii="Arial" w:hAnsi="Arial" w:cs="Arial"/>
          <w:b/>
          <w:bCs/>
          <w:sz w:val="22"/>
          <w:szCs w:val="22"/>
        </w:rPr>
        <w:t>SAŽETAK DJELOKRUGA RADA</w:t>
      </w:r>
    </w:p>
    <w:p w14:paraId="1FED89BE">
      <w:pPr>
        <w:jc w:val="both"/>
        <w:rPr>
          <w:rFonts w:hint="default" w:ascii="Arial" w:hAnsi="Arial" w:cs="Arial"/>
          <w:sz w:val="22"/>
          <w:szCs w:val="22"/>
          <w:lang w:val="hr-HR"/>
        </w:rPr>
      </w:pPr>
      <w:r>
        <w:rPr>
          <w:rFonts w:hint="default" w:ascii="Arial" w:hAnsi="Arial" w:cs="Arial"/>
          <w:sz w:val="22"/>
          <w:szCs w:val="22"/>
        </w:rPr>
        <w:t>Osnovna škola Jure Filipovića Barban obavlja djelatnost osnovnog obrazovanja djece u javnoj ustanovi. Škola ostvaruje programe na temelju Godišnjeg plana i programa rada škole i Školskog kurikuluma, a u skladu sa Zakonom o ustanovama, Zakonom o odgoju i obrazovanju u osnovnoj školi</w:t>
      </w:r>
      <w:r>
        <w:rPr>
          <w:rFonts w:hint="default" w:ascii="Arial" w:hAnsi="Arial" w:cs="Arial"/>
          <w:sz w:val="22"/>
          <w:szCs w:val="22"/>
          <w:lang w:val="hr-HR"/>
        </w:rPr>
        <w:t xml:space="preserve">, </w:t>
      </w:r>
      <w:r>
        <w:rPr>
          <w:rFonts w:hint="default" w:ascii="Arial" w:hAnsi="Arial" w:cs="Arial"/>
          <w:sz w:val="22"/>
          <w:szCs w:val="22"/>
        </w:rPr>
        <w:t>Statutom škole</w:t>
      </w:r>
      <w:r>
        <w:rPr>
          <w:rFonts w:hint="default" w:ascii="Arial" w:hAnsi="Arial" w:cs="Arial"/>
          <w:sz w:val="22"/>
          <w:szCs w:val="22"/>
          <w:lang w:val="hr-HR"/>
        </w:rPr>
        <w:t xml:space="preserve"> i Provedbenim programom Istarske županije za razdoblje  2022.-2025. godine</w:t>
      </w:r>
      <w:r>
        <w:rPr>
          <w:rFonts w:hint="default" w:ascii="Arial" w:hAnsi="Arial" w:cs="Arial"/>
          <w:sz w:val="22"/>
          <w:szCs w:val="22"/>
        </w:rPr>
        <w:t>. U školskoj godini 202</w:t>
      </w:r>
      <w:r>
        <w:rPr>
          <w:rFonts w:hint="default" w:ascii="Arial" w:hAnsi="Arial" w:cs="Arial"/>
          <w:sz w:val="22"/>
          <w:szCs w:val="22"/>
          <w:lang w:val="hr-HR"/>
        </w:rPr>
        <w:t>4.</w:t>
      </w:r>
      <w:r>
        <w:rPr>
          <w:rFonts w:hint="default" w:ascii="Arial" w:hAnsi="Arial" w:cs="Arial"/>
          <w:sz w:val="22"/>
          <w:szCs w:val="22"/>
        </w:rPr>
        <w:t>/202</w:t>
      </w:r>
      <w:r>
        <w:rPr>
          <w:rFonts w:hint="default" w:ascii="Arial" w:hAnsi="Arial" w:cs="Arial"/>
          <w:sz w:val="22"/>
          <w:szCs w:val="22"/>
          <w:lang w:val="hr-HR"/>
        </w:rPr>
        <w:t>5.</w:t>
      </w:r>
      <w:r>
        <w:rPr>
          <w:rFonts w:hint="default" w:ascii="Arial" w:hAnsi="Arial" w:cs="Arial"/>
          <w:sz w:val="22"/>
          <w:szCs w:val="22"/>
        </w:rPr>
        <w:t xml:space="preserve"> Školu pohađa ukupno 1</w:t>
      </w:r>
      <w:r>
        <w:rPr>
          <w:rFonts w:hint="default" w:ascii="Arial" w:hAnsi="Arial" w:cs="Arial"/>
          <w:sz w:val="22"/>
          <w:szCs w:val="22"/>
          <w:lang w:val="hr-HR"/>
        </w:rPr>
        <w:t>39</w:t>
      </w:r>
      <w:r>
        <w:rPr>
          <w:rFonts w:hint="default" w:ascii="Arial" w:hAnsi="Arial" w:cs="Arial"/>
          <w:sz w:val="22"/>
          <w:szCs w:val="22"/>
        </w:rPr>
        <w:t xml:space="preserve"> učenika. </w:t>
      </w:r>
      <w:r>
        <w:rPr>
          <w:rFonts w:hint="default" w:ascii="Arial" w:hAnsi="Arial" w:cs="Arial"/>
          <w:sz w:val="22"/>
          <w:szCs w:val="22"/>
          <w:lang w:val="hr-HR"/>
        </w:rPr>
        <w:t>Osnivač škole je Istarska županija.</w:t>
      </w:r>
    </w:p>
    <w:p w14:paraId="47FCE7A3">
      <w:pPr>
        <w:jc w:val="both"/>
        <w:rPr>
          <w:rFonts w:hint="default" w:ascii="Arial" w:hAnsi="Arial" w:cs="Arial"/>
          <w:sz w:val="22"/>
          <w:szCs w:val="22"/>
          <w:lang w:val="hr-HR"/>
        </w:rPr>
      </w:pPr>
      <w:r>
        <w:rPr>
          <w:rFonts w:hint="default" w:ascii="Arial" w:hAnsi="Arial" w:cs="Arial"/>
          <w:sz w:val="22"/>
          <w:szCs w:val="22"/>
        </w:rPr>
        <w:t>Odgojno-obrazovni programi realiziraju se u petodnevnom radnom tjednu izvodeći sve oblike nastavnoga i izvannastavnoga rada u jednoj smjeni, produženi boravak od 12.00 do 17.00 te se u prostorima škole u popodnevnoj smjeni odvija rad dislociranih odjela Glazbene škole Ivana Matetića Ronjgova iz Pule</w:t>
      </w:r>
      <w:r>
        <w:rPr>
          <w:rFonts w:hint="default" w:ascii="Arial" w:hAnsi="Arial" w:cs="Arial"/>
          <w:sz w:val="22"/>
          <w:szCs w:val="22"/>
          <w:lang w:val="hr-HR"/>
        </w:rPr>
        <w:t>.</w:t>
      </w:r>
    </w:p>
    <w:p w14:paraId="57206017">
      <w:pPr>
        <w:jc w:val="both"/>
        <w:rPr>
          <w:rFonts w:hint="default" w:ascii="Arial" w:hAnsi="Arial" w:cs="Arial"/>
          <w:sz w:val="22"/>
          <w:szCs w:val="22"/>
          <w:lang w:val="hr-HR"/>
        </w:rPr>
      </w:pPr>
    </w:p>
    <w:p w14:paraId="3A8666E3">
      <w:pPr>
        <w:jc w:val="both"/>
        <w:rPr>
          <w:rFonts w:hint="default" w:ascii="Arial" w:hAnsi="Arial" w:cs="Arial"/>
          <w:b/>
          <w:bCs/>
          <w:sz w:val="22"/>
          <w:szCs w:val="22"/>
          <w:lang w:val="hr-HR"/>
        </w:rPr>
      </w:pPr>
      <w:r>
        <w:rPr>
          <w:rFonts w:hint="default" w:ascii="Arial" w:hAnsi="Arial" w:cs="Arial"/>
          <w:b/>
          <w:bCs/>
          <w:sz w:val="22"/>
          <w:szCs w:val="22"/>
          <w:lang w:val="hr-HR"/>
        </w:rPr>
        <w:t>OBRAZLOŽENJE OPĆEG DIJELA</w:t>
      </w:r>
    </w:p>
    <w:p w14:paraId="222CB40F">
      <w:pPr>
        <w:keepNext w:val="0"/>
        <w:keepLines w:val="0"/>
        <w:widowControl/>
        <w:suppressLineNumbers w:val="0"/>
        <w:jc w:val="left"/>
        <w:rPr>
          <w:rFonts w:hint="default" w:ascii="Arial" w:hAnsi="Arial" w:cs="Arial"/>
          <w:sz w:val="22"/>
          <w:szCs w:val="22"/>
        </w:rPr>
      </w:pPr>
      <w:r>
        <w:rPr>
          <w:rFonts w:hint="default" w:ascii="Arial" w:hAnsi="Arial" w:eastAsia="SimSun" w:cs="Arial"/>
          <w:color w:val="000000"/>
          <w:kern w:val="0"/>
          <w:sz w:val="22"/>
          <w:szCs w:val="22"/>
          <w:lang w:val="en-US" w:eastAsia="zh-CN" w:bidi="ar"/>
        </w:rPr>
        <w:t xml:space="preserve">Sukladno članku 30. novog Pravilnika o polugodišnjem i godišnjem izvještaju o izvršenju proračuna i financijskog plana ( NN 85/2023) proračunski korisnici dužni su uz izvještaj izraditi i dostaviti obrazloženje općeg dijela izvještaja o izvršenju financijskog plana. </w:t>
      </w:r>
    </w:p>
    <w:p w14:paraId="151FC78A">
      <w:pPr>
        <w:keepNext w:val="0"/>
        <w:keepLines w:val="0"/>
        <w:widowControl/>
        <w:suppressLineNumbers w:val="0"/>
        <w:jc w:val="left"/>
        <w:rPr>
          <w:rFonts w:hint="default" w:ascii="Arial" w:hAnsi="Arial" w:cs="Arial"/>
          <w:b/>
          <w:bCs/>
          <w:sz w:val="22"/>
          <w:szCs w:val="22"/>
          <w:lang w:val="hr-HR"/>
        </w:rPr>
      </w:pPr>
      <w:r>
        <w:rPr>
          <w:rFonts w:hint="default" w:ascii="Arial" w:hAnsi="Arial" w:eastAsia="SimSun" w:cs="Arial"/>
          <w:color w:val="000000"/>
          <w:kern w:val="0"/>
          <w:sz w:val="22"/>
          <w:szCs w:val="22"/>
          <w:lang w:val="en-US" w:eastAsia="zh-CN" w:bidi="ar"/>
        </w:rPr>
        <w:t>U ovom obrazloženju daje se slika izvršenja financijskog plana za razdoblje kroz obrazloženje</w:t>
      </w:r>
      <w:r>
        <w:rPr>
          <w:rFonts w:hint="default" w:ascii="Arial" w:hAnsi="Arial" w:eastAsia="SimSun" w:cs="Arial"/>
          <w:color w:val="000000"/>
          <w:kern w:val="0"/>
          <w:sz w:val="22"/>
          <w:szCs w:val="22"/>
          <w:lang w:val="hr-HR" w:eastAsia="zh-CN" w:bidi="ar"/>
        </w:rPr>
        <w:t xml:space="preserve"> ostvarenja prihoda i rashoda, prenesenog manjka, odnosno viška iz prehodne godine i viška odnosno manjka za prijenos u sljedeće razdoblje; obrazloženje Računa financiranja i obrazloženja o stanju novčanih sredstavana početku i na kraju izveštajnog razdoblja.</w:t>
      </w:r>
    </w:p>
    <w:p w14:paraId="0D1D0699">
      <w:pPr>
        <w:jc w:val="both"/>
        <w:rPr>
          <w:rFonts w:hint="default" w:ascii="Arial" w:hAnsi="Arial" w:cs="Arial"/>
          <w:b/>
          <w:bCs/>
          <w:sz w:val="22"/>
          <w:szCs w:val="22"/>
          <w:lang w:val="hr-HR"/>
        </w:rPr>
      </w:pPr>
      <w:r>
        <w:rPr>
          <w:rFonts w:hint="default" w:ascii="Arial" w:hAnsi="Arial" w:cs="Arial"/>
          <w:b w:val="0"/>
          <w:bCs w:val="0"/>
          <w:sz w:val="22"/>
          <w:szCs w:val="22"/>
          <w:lang w:val="hr-HR"/>
        </w:rPr>
        <w:t>Škola je u izvještajnom razdoblju ostvarila prihode poslovanja u iznosu od 1.105.130,21 eura, rashode poslovanja u iznosu od 1.081.219,66 eura i rashode za nabavu nefinancijske imovine u iznosu od 19.365,38 eura; u ukupnom iznosu ostvareni rashodi iznose 1.100.585,04 eura. Indeks izvršenja prihoda u odnosu na tekući plan iznosi 95,22%. Ukupni ostvareni rashodi  iznose 93,85 % u odnosu na tekući plan.</w:t>
      </w:r>
    </w:p>
    <w:p w14:paraId="649509EA">
      <w:pPr>
        <w:jc w:val="both"/>
        <w:rPr>
          <w:rFonts w:hint="default" w:ascii="Arial" w:hAnsi="Arial" w:cs="Arial"/>
          <w:b w:val="0"/>
          <w:bCs w:val="0"/>
          <w:i w:val="0"/>
          <w:iCs w:val="0"/>
          <w:sz w:val="22"/>
          <w:szCs w:val="22"/>
          <w:lang w:val="hr-HR"/>
        </w:rPr>
      </w:pPr>
      <w:r>
        <w:rPr>
          <w:rFonts w:hint="default" w:ascii="Arial" w:hAnsi="Arial" w:cs="Arial"/>
          <w:b w:val="0"/>
          <w:bCs w:val="0"/>
          <w:sz w:val="22"/>
          <w:szCs w:val="22"/>
          <w:lang w:val="hr-HR"/>
        </w:rPr>
        <w:t>Višak tekućeg razdoblja iznosi 4.545,17 eura od čega se najveći dio (3.513,00 eura) odnosi na sredstva primljena krajem prosinca od nadležnog ministarstva za psihodijagnostička sredstva</w:t>
      </w:r>
      <w:r>
        <w:rPr>
          <w:rFonts w:hint="default" w:ascii="Arial" w:hAnsi="Arial" w:cs="Arial"/>
          <w:b w:val="0"/>
          <w:bCs w:val="0"/>
          <w:i/>
          <w:iCs/>
          <w:sz w:val="22"/>
          <w:szCs w:val="22"/>
          <w:lang w:val="hr-HR"/>
        </w:rPr>
        <w:t xml:space="preserve">. </w:t>
      </w:r>
      <w:r>
        <w:rPr>
          <w:rFonts w:hint="default" w:ascii="Arial" w:hAnsi="Arial" w:cs="Arial"/>
          <w:b w:val="0"/>
          <w:bCs w:val="0"/>
          <w:i w:val="0"/>
          <w:iCs w:val="0"/>
          <w:sz w:val="22"/>
          <w:szCs w:val="22"/>
          <w:lang w:val="hr-HR"/>
        </w:rPr>
        <w:t xml:space="preserve">Preneseni ukupni višak poslovanja iz 2023 godine iznosi 12.138,25 eura što ukupno predstavlja višak od 16.683,42 eura. Dio prenesenog viška odnosi se na  promjene dobavljača za nabavu uredskog materijala te namirnica za školsku kuhinju. Višak će biti namjenski utrošen tijekom 2025 godine. </w:t>
      </w:r>
    </w:p>
    <w:p w14:paraId="13C4B92B">
      <w:pPr>
        <w:spacing w:line="276" w:lineRule="auto"/>
        <w:jc w:val="both"/>
        <w:rPr>
          <w:rFonts w:ascii="Arial" w:hAnsi="Arial" w:eastAsia="Calibri" w:cs="Arial"/>
          <w:bCs/>
        </w:rPr>
      </w:pPr>
    </w:p>
    <w:p w14:paraId="4203F5CC">
      <w:pPr>
        <w:spacing w:line="276" w:lineRule="auto"/>
        <w:jc w:val="both"/>
        <w:rPr>
          <w:rFonts w:ascii="Arial" w:hAnsi="Arial" w:eastAsia="Calibri" w:cs="Arial"/>
          <w:bCs/>
        </w:rPr>
      </w:pPr>
    </w:p>
    <w:p w14:paraId="21477240">
      <w:pPr>
        <w:spacing w:line="276" w:lineRule="auto"/>
        <w:jc w:val="both"/>
        <w:rPr>
          <w:rFonts w:ascii="Arial" w:hAnsi="Arial" w:eastAsia="Calibri" w:cs="Arial"/>
          <w:bCs/>
        </w:rPr>
      </w:pPr>
    </w:p>
    <w:p w14:paraId="7F4464D1">
      <w:pPr>
        <w:spacing w:line="276" w:lineRule="auto"/>
        <w:jc w:val="both"/>
        <w:rPr>
          <w:rFonts w:ascii="Arial" w:hAnsi="Arial" w:eastAsia="Calibri" w:cs="Arial"/>
          <w:bCs/>
        </w:rPr>
      </w:pPr>
    </w:p>
    <w:p w14:paraId="07AF2AE2">
      <w:pPr>
        <w:spacing w:line="276" w:lineRule="auto"/>
        <w:jc w:val="both"/>
        <w:rPr>
          <w:rFonts w:ascii="Arial" w:hAnsi="Arial" w:eastAsia="Calibri" w:cs="Arial"/>
          <w:bCs/>
        </w:rPr>
      </w:pPr>
    </w:p>
    <w:p w14:paraId="10290CAF">
      <w:pPr>
        <w:spacing w:line="276" w:lineRule="auto"/>
        <w:jc w:val="center"/>
        <w:rPr>
          <w:rFonts w:ascii="Arial" w:hAnsi="Arial" w:eastAsia="Calibri" w:cs="Arial"/>
          <w:bCs/>
          <w:i/>
        </w:rPr>
      </w:pPr>
      <w:r>
        <w:rPr>
          <w:rFonts w:ascii="Arial" w:hAnsi="Arial" w:eastAsia="Calibri" w:cs="Arial"/>
          <w:bCs/>
          <w:i/>
        </w:rPr>
        <w:t>Sažetak 202</w:t>
      </w:r>
      <w:r>
        <w:rPr>
          <w:rFonts w:hint="default" w:ascii="Arial" w:hAnsi="Arial" w:eastAsia="Calibri" w:cs="Arial"/>
          <w:bCs/>
          <w:i/>
          <w:lang w:val="hr-HR"/>
        </w:rPr>
        <w:t>4</w:t>
      </w:r>
      <w:r>
        <w:rPr>
          <w:rFonts w:ascii="Arial" w:hAnsi="Arial" w:eastAsia="Calibri" w:cs="Arial"/>
          <w:bCs/>
          <w:i/>
        </w:rPr>
        <w:t>.g.</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2268"/>
      </w:tblGrid>
      <w:tr w14:paraId="5EC3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3F570D6D">
            <w:pPr>
              <w:spacing w:line="276" w:lineRule="auto"/>
              <w:rPr>
                <w:rFonts w:ascii="Arial" w:hAnsi="Arial" w:cs="Arial"/>
                <w:sz w:val="20"/>
              </w:rPr>
            </w:pPr>
            <w:r>
              <w:rPr>
                <w:rFonts w:ascii="Arial" w:hAnsi="Arial" w:cs="Arial"/>
                <w:sz w:val="20"/>
              </w:rPr>
              <w:t>u EUR</w:t>
            </w:r>
          </w:p>
        </w:tc>
        <w:tc>
          <w:tcPr>
            <w:tcW w:w="2268" w:type="dxa"/>
            <w:tcBorders>
              <w:top w:val="single" w:color="auto" w:sz="4" w:space="0"/>
              <w:left w:val="single" w:color="auto" w:sz="4" w:space="0"/>
              <w:bottom w:val="single" w:color="auto" w:sz="4" w:space="0"/>
              <w:right w:val="single" w:color="auto" w:sz="4" w:space="0"/>
            </w:tcBorders>
            <w:vAlign w:val="center"/>
          </w:tcPr>
          <w:p w14:paraId="7CDAA47A">
            <w:pPr>
              <w:spacing w:line="276" w:lineRule="auto"/>
              <w:jc w:val="center"/>
              <w:rPr>
                <w:rFonts w:ascii="Arial" w:hAnsi="Arial" w:cs="Arial"/>
                <w:sz w:val="20"/>
              </w:rPr>
            </w:pPr>
            <w:r>
              <w:rPr>
                <w:rFonts w:ascii="Arial" w:hAnsi="Arial" w:cs="Arial"/>
                <w:sz w:val="20"/>
              </w:rPr>
              <w:t>Izvršenje</w:t>
            </w:r>
          </w:p>
          <w:p w14:paraId="4D894E6A">
            <w:pPr>
              <w:spacing w:line="276" w:lineRule="auto"/>
              <w:jc w:val="center"/>
              <w:rPr>
                <w:rFonts w:ascii="Arial" w:hAnsi="Arial" w:cs="Arial"/>
                <w:sz w:val="20"/>
              </w:rPr>
            </w:pPr>
            <w:r>
              <w:rPr>
                <w:rFonts w:ascii="Arial" w:hAnsi="Arial" w:cs="Arial"/>
                <w:sz w:val="20"/>
              </w:rPr>
              <w:t>01.01.-31.12.202</w:t>
            </w:r>
            <w:r>
              <w:rPr>
                <w:rFonts w:hint="default" w:ascii="Arial" w:hAnsi="Arial" w:cs="Arial"/>
                <w:sz w:val="20"/>
                <w:lang w:val="hr-HR"/>
              </w:rPr>
              <w:t>4</w:t>
            </w:r>
            <w:r>
              <w:rPr>
                <w:rFonts w:ascii="Arial" w:hAnsi="Arial" w:cs="Arial"/>
                <w:sz w:val="20"/>
              </w:rPr>
              <w:t>.</w:t>
            </w:r>
          </w:p>
        </w:tc>
      </w:tr>
      <w:tr w14:paraId="24B7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3ABD3455">
            <w:pPr>
              <w:spacing w:line="276" w:lineRule="auto"/>
              <w:rPr>
                <w:rFonts w:ascii="Arial" w:hAnsi="Arial" w:cs="Arial"/>
                <w:b/>
                <w:sz w:val="20"/>
              </w:rPr>
            </w:pPr>
            <w:r>
              <w:rPr>
                <w:rFonts w:ascii="Arial" w:hAnsi="Arial" w:cs="Arial"/>
                <w:b/>
                <w:sz w:val="20"/>
              </w:rPr>
              <w:t>Prihodi ukupno</w:t>
            </w:r>
          </w:p>
        </w:tc>
        <w:tc>
          <w:tcPr>
            <w:tcW w:w="2268" w:type="dxa"/>
            <w:tcBorders>
              <w:top w:val="single" w:color="auto" w:sz="4" w:space="0"/>
              <w:left w:val="single" w:color="auto" w:sz="4" w:space="0"/>
              <w:bottom w:val="single" w:color="auto" w:sz="4" w:space="0"/>
              <w:right w:val="single" w:color="auto" w:sz="4" w:space="0"/>
            </w:tcBorders>
            <w:vAlign w:val="center"/>
          </w:tcPr>
          <w:p w14:paraId="4F4AE02E">
            <w:pPr>
              <w:spacing w:line="276" w:lineRule="auto"/>
              <w:jc w:val="right"/>
              <w:rPr>
                <w:rFonts w:hint="default" w:ascii="Arial" w:hAnsi="Arial" w:cs="Arial"/>
                <w:b/>
                <w:sz w:val="20"/>
                <w:lang w:val="hr-HR"/>
              </w:rPr>
            </w:pPr>
            <w:r>
              <w:rPr>
                <w:rFonts w:hint="default" w:ascii="Arial" w:hAnsi="Arial" w:cs="Arial"/>
                <w:b/>
                <w:sz w:val="20"/>
                <w:lang w:val="hr-HR"/>
              </w:rPr>
              <w:t>1.105.130,21</w:t>
            </w:r>
          </w:p>
        </w:tc>
      </w:tr>
      <w:tr w14:paraId="4CFA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098F996B">
            <w:pPr>
              <w:spacing w:line="276" w:lineRule="auto"/>
              <w:rPr>
                <w:rFonts w:ascii="Arial" w:hAnsi="Arial" w:cs="Arial"/>
                <w:sz w:val="20"/>
              </w:rPr>
            </w:pPr>
            <w:r>
              <w:rPr>
                <w:rFonts w:ascii="Arial" w:hAnsi="Arial" w:cs="Arial"/>
                <w:sz w:val="20"/>
              </w:rPr>
              <w:t>Prihodi poslovanja</w:t>
            </w:r>
          </w:p>
        </w:tc>
        <w:tc>
          <w:tcPr>
            <w:tcW w:w="2268" w:type="dxa"/>
            <w:tcBorders>
              <w:top w:val="single" w:color="auto" w:sz="4" w:space="0"/>
              <w:left w:val="single" w:color="auto" w:sz="4" w:space="0"/>
              <w:bottom w:val="single" w:color="auto" w:sz="4" w:space="0"/>
              <w:right w:val="single" w:color="auto" w:sz="4" w:space="0"/>
            </w:tcBorders>
            <w:vAlign w:val="center"/>
          </w:tcPr>
          <w:p w14:paraId="74D83C25">
            <w:pPr>
              <w:spacing w:line="276" w:lineRule="auto"/>
              <w:jc w:val="right"/>
              <w:rPr>
                <w:rFonts w:hint="default" w:ascii="Arial" w:hAnsi="Arial" w:cs="Arial"/>
                <w:bCs/>
                <w:sz w:val="20"/>
                <w:lang w:val="hr-HR"/>
              </w:rPr>
            </w:pPr>
            <w:r>
              <w:rPr>
                <w:rFonts w:hint="default" w:ascii="Arial" w:hAnsi="Arial" w:cs="Arial"/>
                <w:bCs/>
                <w:sz w:val="20"/>
                <w:lang w:val="hr-HR"/>
              </w:rPr>
              <w:t>1.105.130,21</w:t>
            </w:r>
          </w:p>
        </w:tc>
      </w:tr>
      <w:tr w14:paraId="4E0A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519C74DC">
            <w:pPr>
              <w:spacing w:line="276" w:lineRule="auto"/>
              <w:rPr>
                <w:rFonts w:ascii="Arial" w:hAnsi="Arial" w:cs="Arial"/>
                <w:sz w:val="20"/>
              </w:rPr>
            </w:pPr>
            <w:r>
              <w:rPr>
                <w:rFonts w:ascii="Arial" w:hAnsi="Arial" w:cs="Arial"/>
                <w:sz w:val="20"/>
              </w:rPr>
              <w:t>Prihodi od prodaje nefinancijske imovina</w:t>
            </w:r>
          </w:p>
        </w:tc>
        <w:tc>
          <w:tcPr>
            <w:tcW w:w="2268" w:type="dxa"/>
            <w:tcBorders>
              <w:top w:val="single" w:color="auto" w:sz="4" w:space="0"/>
              <w:left w:val="single" w:color="auto" w:sz="4" w:space="0"/>
              <w:bottom w:val="single" w:color="auto" w:sz="4" w:space="0"/>
              <w:right w:val="single" w:color="auto" w:sz="4" w:space="0"/>
            </w:tcBorders>
            <w:vAlign w:val="center"/>
          </w:tcPr>
          <w:p w14:paraId="79B6C7DF">
            <w:pPr>
              <w:spacing w:line="276" w:lineRule="auto"/>
              <w:jc w:val="right"/>
              <w:rPr>
                <w:rFonts w:ascii="Arial" w:hAnsi="Arial" w:cs="Arial"/>
                <w:sz w:val="20"/>
              </w:rPr>
            </w:pPr>
            <w:r>
              <w:rPr>
                <w:rFonts w:ascii="Arial" w:hAnsi="Arial" w:cs="Arial"/>
                <w:sz w:val="20"/>
              </w:rPr>
              <w:t>0,00</w:t>
            </w:r>
          </w:p>
        </w:tc>
      </w:tr>
      <w:tr w14:paraId="24B9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191072F3">
            <w:pPr>
              <w:spacing w:line="276" w:lineRule="auto"/>
              <w:rPr>
                <w:rFonts w:ascii="Arial" w:hAnsi="Arial" w:cs="Arial"/>
                <w:b/>
                <w:sz w:val="20"/>
              </w:rPr>
            </w:pPr>
            <w:r>
              <w:rPr>
                <w:rFonts w:ascii="Arial" w:hAnsi="Arial" w:cs="Arial"/>
                <w:b/>
                <w:sz w:val="20"/>
              </w:rPr>
              <w:t>Rashodi ukupno</w:t>
            </w:r>
          </w:p>
        </w:tc>
        <w:tc>
          <w:tcPr>
            <w:tcW w:w="2268" w:type="dxa"/>
            <w:tcBorders>
              <w:top w:val="single" w:color="auto" w:sz="4" w:space="0"/>
              <w:left w:val="single" w:color="auto" w:sz="4" w:space="0"/>
              <w:bottom w:val="single" w:color="auto" w:sz="4" w:space="0"/>
              <w:right w:val="single" w:color="auto" w:sz="4" w:space="0"/>
            </w:tcBorders>
            <w:vAlign w:val="center"/>
          </w:tcPr>
          <w:p w14:paraId="29FFAC9C">
            <w:pPr>
              <w:spacing w:line="276" w:lineRule="auto"/>
              <w:jc w:val="right"/>
              <w:rPr>
                <w:rFonts w:hint="default" w:ascii="Arial" w:hAnsi="Arial" w:cs="Arial"/>
                <w:b/>
                <w:sz w:val="20"/>
                <w:lang w:val="hr-HR"/>
              </w:rPr>
            </w:pPr>
            <w:r>
              <w:rPr>
                <w:rFonts w:hint="default" w:ascii="Arial" w:hAnsi="Arial" w:cs="Arial"/>
                <w:b/>
                <w:sz w:val="20"/>
                <w:lang w:val="hr-HR"/>
              </w:rPr>
              <w:t>1.100.585,04</w:t>
            </w:r>
          </w:p>
        </w:tc>
      </w:tr>
      <w:tr w14:paraId="2755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22078388">
            <w:pPr>
              <w:spacing w:line="276" w:lineRule="auto"/>
              <w:rPr>
                <w:rFonts w:ascii="Arial" w:hAnsi="Arial" w:cs="Arial"/>
                <w:sz w:val="20"/>
              </w:rPr>
            </w:pPr>
            <w:r>
              <w:rPr>
                <w:rFonts w:ascii="Arial" w:hAnsi="Arial" w:cs="Arial"/>
                <w:sz w:val="20"/>
              </w:rPr>
              <w:t>Rashodi poslovanja</w:t>
            </w:r>
          </w:p>
        </w:tc>
        <w:tc>
          <w:tcPr>
            <w:tcW w:w="2268" w:type="dxa"/>
            <w:tcBorders>
              <w:top w:val="single" w:color="auto" w:sz="4" w:space="0"/>
              <w:left w:val="single" w:color="auto" w:sz="4" w:space="0"/>
              <w:bottom w:val="single" w:color="auto" w:sz="4" w:space="0"/>
              <w:right w:val="single" w:color="auto" w:sz="4" w:space="0"/>
            </w:tcBorders>
            <w:vAlign w:val="center"/>
          </w:tcPr>
          <w:p w14:paraId="1DA08A19">
            <w:pPr>
              <w:spacing w:line="276" w:lineRule="auto"/>
              <w:jc w:val="right"/>
              <w:rPr>
                <w:rFonts w:hint="default" w:ascii="Arial" w:hAnsi="Arial" w:cs="Arial"/>
                <w:sz w:val="20"/>
                <w:lang w:val="hr-HR"/>
              </w:rPr>
            </w:pPr>
            <w:r>
              <w:rPr>
                <w:rFonts w:hint="default" w:ascii="Arial" w:hAnsi="Arial" w:cs="Arial"/>
                <w:sz w:val="20"/>
                <w:lang w:val="hr-HR"/>
              </w:rPr>
              <w:t>1.081.219,66</w:t>
            </w:r>
          </w:p>
        </w:tc>
      </w:tr>
      <w:tr w14:paraId="1D60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7CC8B515">
            <w:pPr>
              <w:spacing w:line="276" w:lineRule="auto"/>
              <w:rPr>
                <w:rFonts w:ascii="Arial" w:hAnsi="Arial" w:cs="Arial"/>
                <w:sz w:val="20"/>
              </w:rPr>
            </w:pPr>
            <w:r>
              <w:rPr>
                <w:rFonts w:ascii="Arial" w:hAnsi="Arial" w:cs="Arial"/>
                <w:sz w:val="20"/>
              </w:rPr>
              <w:t>Rashodi za nabavu nefinancijske imovine</w:t>
            </w:r>
          </w:p>
        </w:tc>
        <w:tc>
          <w:tcPr>
            <w:tcW w:w="2268" w:type="dxa"/>
            <w:tcBorders>
              <w:top w:val="single" w:color="auto" w:sz="4" w:space="0"/>
              <w:left w:val="single" w:color="auto" w:sz="4" w:space="0"/>
              <w:bottom w:val="single" w:color="auto" w:sz="4" w:space="0"/>
              <w:right w:val="single" w:color="auto" w:sz="4" w:space="0"/>
            </w:tcBorders>
            <w:vAlign w:val="center"/>
          </w:tcPr>
          <w:p w14:paraId="469132F4">
            <w:pPr>
              <w:spacing w:line="276" w:lineRule="auto"/>
              <w:jc w:val="right"/>
              <w:rPr>
                <w:rFonts w:hint="default" w:ascii="Arial" w:hAnsi="Arial" w:cs="Arial"/>
                <w:sz w:val="20"/>
                <w:lang w:val="hr-HR"/>
              </w:rPr>
            </w:pPr>
            <w:r>
              <w:rPr>
                <w:rFonts w:hint="default" w:ascii="Arial" w:hAnsi="Arial" w:cs="Arial"/>
                <w:sz w:val="20"/>
                <w:lang w:val="hr-HR"/>
              </w:rPr>
              <w:t>19.365,38</w:t>
            </w:r>
          </w:p>
        </w:tc>
      </w:tr>
      <w:tr w14:paraId="20A1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0B3BE78E">
            <w:pPr>
              <w:spacing w:line="276" w:lineRule="auto"/>
              <w:rPr>
                <w:rFonts w:ascii="Arial" w:hAnsi="Arial" w:cs="Arial"/>
                <w:b/>
                <w:sz w:val="20"/>
              </w:rPr>
            </w:pPr>
            <w:r>
              <w:rPr>
                <w:rFonts w:ascii="Arial" w:hAnsi="Arial" w:cs="Arial"/>
                <w:b/>
                <w:sz w:val="20"/>
              </w:rPr>
              <w:t>Razlika – višak</w:t>
            </w:r>
          </w:p>
        </w:tc>
        <w:tc>
          <w:tcPr>
            <w:tcW w:w="2268" w:type="dxa"/>
            <w:tcBorders>
              <w:top w:val="single" w:color="auto" w:sz="4" w:space="0"/>
              <w:left w:val="single" w:color="auto" w:sz="4" w:space="0"/>
              <w:bottom w:val="single" w:color="auto" w:sz="4" w:space="0"/>
              <w:right w:val="single" w:color="auto" w:sz="4" w:space="0"/>
            </w:tcBorders>
            <w:vAlign w:val="center"/>
          </w:tcPr>
          <w:p w14:paraId="64FE7CE0">
            <w:pPr>
              <w:spacing w:line="276" w:lineRule="auto"/>
              <w:jc w:val="right"/>
              <w:rPr>
                <w:rFonts w:hint="default" w:ascii="Arial" w:hAnsi="Arial" w:cs="Arial"/>
                <w:b/>
                <w:sz w:val="20"/>
                <w:lang w:val="hr-HR"/>
              </w:rPr>
            </w:pPr>
            <w:r>
              <w:rPr>
                <w:rFonts w:hint="default" w:ascii="Arial" w:hAnsi="Arial" w:cs="Arial"/>
                <w:b/>
                <w:sz w:val="20"/>
                <w:lang w:val="hr-HR"/>
              </w:rPr>
              <w:t>4.545,17</w:t>
            </w:r>
          </w:p>
        </w:tc>
      </w:tr>
      <w:tr w14:paraId="066A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71BF8BCC">
            <w:pPr>
              <w:spacing w:line="276" w:lineRule="auto"/>
              <w:rPr>
                <w:rFonts w:ascii="Arial" w:hAnsi="Arial" w:cs="Arial"/>
                <w:sz w:val="20"/>
              </w:rPr>
            </w:pPr>
            <w:r>
              <w:rPr>
                <w:rFonts w:ascii="Arial" w:hAnsi="Arial" w:cs="Arial"/>
                <w:sz w:val="20"/>
              </w:rPr>
              <w:t>Ukupan donos viška iz prethodne godine</w:t>
            </w:r>
          </w:p>
        </w:tc>
        <w:tc>
          <w:tcPr>
            <w:tcW w:w="2268" w:type="dxa"/>
            <w:tcBorders>
              <w:top w:val="single" w:color="auto" w:sz="4" w:space="0"/>
              <w:left w:val="single" w:color="auto" w:sz="4" w:space="0"/>
              <w:bottom w:val="single" w:color="auto" w:sz="4" w:space="0"/>
              <w:right w:val="single" w:color="auto" w:sz="4" w:space="0"/>
            </w:tcBorders>
            <w:vAlign w:val="center"/>
          </w:tcPr>
          <w:p w14:paraId="328DC43E">
            <w:pPr>
              <w:spacing w:line="276" w:lineRule="auto"/>
              <w:jc w:val="right"/>
              <w:rPr>
                <w:rFonts w:hint="default" w:ascii="Arial" w:hAnsi="Arial" w:cs="Arial"/>
                <w:bCs/>
                <w:sz w:val="20"/>
                <w:lang w:val="hr-HR"/>
              </w:rPr>
            </w:pPr>
            <w:r>
              <w:rPr>
                <w:rFonts w:ascii="Arial" w:hAnsi="Arial" w:eastAsia="Times New Roman" w:cs="Arial"/>
                <w:sz w:val="20"/>
                <w:szCs w:val="20"/>
              </w:rPr>
              <w:t>1</w:t>
            </w:r>
            <w:r>
              <w:rPr>
                <w:rFonts w:hint="default" w:ascii="Arial" w:hAnsi="Arial" w:eastAsia="Times New Roman" w:cs="Arial"/>
                <w:sz w:val="20"/>
                <w:szCs w:val="20"/>
                <w:lang w:val="hr-HR"/>
              </w:rPr>
              <w:t>2.138,25</w:t>
            </w:r>
          </w:p>
        </w:tc>
      </w:tr>
      <w:tr w14:paraId="1BB0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tcBorders>
              <w:top w:val="single" w:color="auto" w:sz="4" w:space="0"/>
              <w:left w:val="single" w:color="auto" w:sz="4" w:space="0"/>
              <w:bottom w:val="single" w:color="auto" w:sz="4" w:space="0"/>
              <w:right w:val="single" w:color="auto" w:sz="4" w:space="0"/>
            </w:tcBorders>
            <w:vAlign w:val="center"/>
          </w:tcPr>
          <w:p w14:paraId="416F80BF">
            <w:pPr>
              <w:spacing w:line="276" w:lineRule="auto"/>
              <w:rPr>
                <w:rFonts w:ascii="Arial" w:hAnsi="Arial" w:cs="Arial"/>
                <w:b/>
                <w:sz w:val="20"/>
              </w:rPr>
            </w:pPr>
            <w:r>
              <w:rPr>
                <w:rFonts w:ascii="Arial" w:hAnsi="Arial" w:cs="Arial"/>
                <w:b/>
                <w:sz w:val="20"/>
              </w:rPr>
              <w:t>Višak iz prethodne godine koji će se rasporediti</w:t>
            </w:r>
          </w:p>
        </w:tc>
        <w:tc>
          <w:tcPr>
            <w:tcW w:w="2268" w:type="dxa"/>
            <w:tcBorders>
              <w:top w:val="single" w:color="auto" w:sz="4" w:space="0"/>
              <w:left w:val="single" w:color="auto" w:sz="4" w:space="0"/>
              <w:bottom w:val="single" w:color="auto" w:sz="4" w:space="0"/>
              <w:right w:val="single" w:color="auto" w:sz="4" w:space="0"/>
            </w:tcBorders>
            <w:vAlign w:val="center"/>
          </w:tcPr>
          <w:p w14:paraId="4AD81754">
            <w:pPr>
              <w:spacing w:line="276" w:lineRule="auto"/>
              <w:jc w:val="right"/>
              <w:rPr>
                <w:rFonts w:ascii="Arial" w:hAnsi="Arial" w:cs="Arial"/>
                <w:b/>
                <w:sz w:val="20"/>
              </w:rPr>
            </w:pPr>
            <w:r>
              <w:rPr>
                <w:rFonts w:hint="default" w:ascii="Arial" w:hAnsi="Arial" w:cs="Arial"/>
                <w:b/>
                <w:sz w:val="20"/>
                <w:lang w:val="hr-HR"/>
              </w:rPr>
              <w:t>16</w:t>
            </w:r>
            <w:r>
              <w:rPr>
                <w:rFonts w:ascii="Arial" w:hAnsi="Arial" w:cs="Arial"/>
                <w:b/>
                <w:sz w:val="20"/>
              </w:rPr>
              <w:t>.</w:t>
            </w:r>
            <w:r>
              <w:rPr>
                <w:rFonts w:hint="default" w:ascii="Arial" w:hAnsi="Arial" w:cs="Arial"/>
                <w:b/>
                <w:sz w:val="20"/>
                <w:lang w:val="hr-HR"/>
              </w:rPr>
              <w:t>683,42</w:t>
            </w:r>
          </w:p>
        </w:tc>
      </w:tr>
    </w:tbl>
    <w:p w14:paraId="3F57C584">
      <w:pPr>
        <w:jc w:val="both"/>
        <w:rPr>
          <w:rFonts w:hint="default" w:ascii="Arial" w:hAnsi="Arial" w:cs="Arial"/>
          <w:b/>
          <w:bCs/>
          <w:i w:val="0"/>
          <w:iCs w:val="0"/>
          <w:sz w:val="22"/>
          <w:szCs w:val="22"/>
          <w:lang w:val="hr-HR"/>
        </w:rPr>
      </w:pPr>
    </w:p>
    <w:p w14:paraId="5C984544">
      <w:pPr>
        <w:spacing w:line="276" w:lineRule="auto"/>
        <w:jc w:val="both"/>
        <w:rPr>
          <w:rFonts w:ascii="Arial" w:hAnsi="Arial" w:eastAsia="Calibri" w:cs="Arial"/>
          <w:bCs/>
        </w:rPr>
      </w:pPr>
      <w:r>
        <w:rPr>
          <w:rFonts w:ascii="Arial" w:hAnsi="Arial" w:eastAsia="Calibri" w:cs="Arial"/>
          <w:bCs/>
        </w:rPr>
        <w:t>Izvori financiranja za realizaciju redovne djelatnosti škole u 202</w:t>
      </w:r>
      <w:r>
        <w:rPr>
          <w:rFonts w:hint="default" w:ascii="Arial" w:hAnsi="Arial" w:eastAsia="Calibri" w:cs="Arial"/>
          <w:bCs/>
          <w:lang w:val="hr-HR"/>
        </w:rPr>
        <w:t>4</w:t>
      </w:r>
      <w:r>
        <w:rPr>
          <w:rFonts w:ascii="Arial" w:hAnsi="Arial" w:eastAsia="Calibri" w:cs="Arial"/>
          <w:bCs/>
        </w:rPr>
        <w:t xml:space="preserve">. godini činila su sredstva iz državnog proračuna (pomoći ministarstva nadležnog za obrazovanje i drugih ministarstava), decentralizirana i namjenska sredstva Istarske županije, vlastiti prihodi, donacije, sredstva – pomoći </w:t>
      </w:r>
      <w:r>
        <w:rPr>
          <w:rFonts w:hint="default" w:ascii="Arial" w:hAnsi="Arial" w:eastAsia="Calibri" w:cs="Arial"/>
          <w:bCs/>
          <w:lang w:val="hr-HR"/>
        </w:rPr>
        <w:t xml:space="preserve">Općine Barban </w:t>
      </w:r>
      <w:r>
        <w:rPr>
          <w:rFonts w:ascii="Arial" w:hAnsi="Arial" w:eastAsia="Calibri" w:cs="Arial"/>
          <w:bCs/>
        </w:rPr>
        <w:t xml:space="preserve">i prihodi po posebnim propisima (sufinanciranje usluga, ostali namjenski prihodi). </w:t>
      </w:r>
    </w:p>
    <w:p w14:paraId="6FE73B16">
      <w:pPr>
        <w:jc w:val="both"/>
        <w:rPr>
          <w:rFonts w:ascii="Arial" w:hAnsi="Arial" w:eastAsia="Calibri" w:cs="Arial"/>
          <w:bCs/>
        </w:rPr>
      </w:pPr>
      <w:r>
        <w:rPr>
          <w:rFonts w:ascii="Arial" w:hAnsi="Arial" w:eastAsia="Calibri" w:cs="Arial"/>
          <w:bCs/>
        </w:rPr>
        <w:t xml:space="preserve">Prihodima Ministarstva znanosti i obrazovanja financiraju se rashodi za zaposlene i ostala materijalna prava za zaposlene, nabava udžbenika za učenike, knjige za knjižncu i </w:t>
      </w:r>
      <w:r>
        <w:rPr>
          <w:rFonts w:hint="default" w:ascii="Arial" w:hAnsi="Arial" w:eastAsia="Calibri" w:cs="Arial"/>
          <w:bCs/>
          <w:lang w:val="hr-HR"/>
        </w:rPr>
        <w:t>psihodijagnostička sredstva.</w:t>
      </w:r>
      <w:r>
        <w:rPr>
          <w:rFonts w:ascii="Arial" w:hAnsi="Arial" w:eastAsia="Calibri" w:cs="Arial"/>
          <w:bCs/>
        </w:rPr>
        <w:t xml:space="preserve"> Od siječnja 2023. godine Ministarstvo osigurava i besplatnu prehranu (marendu) za sve učenike.</w:t>
      </w:r>
    </w:p>
    <w:p w14:paraId="3D8A05FB">
      <w:pPr>
        <w:spacing w:line="276" w:lineRule="auto"/>
        <w:jc w:val="both"/>
        <w:rPr>
          <w:rFonts w:ascii="Arial" w:hAnsi="Arial" w:eastAsia="Calibri" w:cs="Arial"/>
          <w:bCs/>
        </w:rPr>
      </w:pPr>
      <w:r>
        <w:rPr>
          <w:rFonts w:hint="default" w:ascii="Arial" w:hAnsi="Arial" w:cs="Arial"/>
          <w:b w:val="0"/>
          <w:bCs w:val="0"/>
          <w:i w:val="0"/>
          <w:iCs w:val="0"/>
          <w:sz w:val="22"/>
          <w:szCs w:val="22"/>
          <w:lang w:val="hr-HR"/>
        </w:rPr>
        <w:t xml:space="preserve">Pomoći od inozemstva i od subjekata unutar općeg proračuna  (skupina 63) su u razdoblju od 1.1.2024.-31.12.2024.  ostvareni u iznosu od 804.672,65 eura.  Izvor financiranja su sredstva Europske unije (izvor 51) za projkete MOZAIK 6 i MOZAIK 7, Ministarstva (53) i  Općine za proračunske korisnike  (55). </w:t>
      </w:r>
      <w:r>
        <w:rPr>
          <w:rFonts w:ascii="Arial" w:hAnsi="Arial" w:eastAsia="Calibri" w:cs="Arial"/>
          <w:bCs/>
        </w:rPr>
        <w:t xml:space="preserve">Pomoćima </w:t>
      </w:r>
      <w:r>
        <w:rPr>
          <w:rFonts w:hint="default" w:ascii="Arial" w:hAnsi="Arial" w:eastAsia="Calibri" w:cs="Arial"/>
          <w:bCs/>
          <w:lang w:val="hr-HR"/>
        </w:rPr>
        <w:t xml:space="preserve">Općine Barban </w:t>
      </w:r>
      <w:r>
        <w:rPr>
          <w:rFonts w:ascii="Arial" w:hAnsi="Arial" w:eastAsia="Calibri" w:cs="Arial"/>
          <w:bCs/>
        </w:rPr>
        <w:t>sufina</w:t>
      </w:r>
      <w:r>
        <w:rPr>
          <w:rFonts w:hint="default" w:ascii="Arial" w:hAnsi="Arial" w:eastAsia="Calibri" w:cs="Arial"/>
          <w:bCs/>
          <w:lang w:val="hr-HR"/>
        </w:rPr>
        <w:t>n</w:t>
      </w:r>
      <w:r>
        <w:rPr>
          <w:rFonts w:ascii="Arial" w:hAnsi="Arial" w:eastAsia="Calibri" w:cs="Arial"/>
          <w:bCs/>
        </w:rPr>
        <w:t>ci</w:t>
      </w:r>
      <w:r>
        <w:rPr>
          <w:rFonts w:hint="default" w:ascii="Arial" w:hAnsi="Arial" w:eastAsia="Calibri" w:cs="Arial"/>
          <w:bCs/>
          <w:lang w:val="hr-HR"/>
        </w:rPr>
        <w:t>ra</w:t>
      </w:r>
      <w:r>
        <w:rPr>
          <w:rFonts w:ascii="Arial" w:hAnsi="Arial" w:eastAsia="Calibri" w:cs="Arial"/>
          <w:bCs/>
        </w:rPr>
        <w:t xml:space="preserve">ju se plaće učitelja u produženom boravku, </w:t>
      </w:r>
      <w:r>
        <w:rPr>
          <w:rFonts w:hint="default" w:ascii="Arial" w:hAnsi="Arial" w:eastAsia="Calibri" w:cs="Arial"/>
          <w:bCs/>
          <w:lang w:val="hr-HR"/>
        </w:rPr>
        <w:t xml:space="preserve">nagrade za učenike, </w:t>
      </w:r>
      <w:r>
        <w:rPr>
          <w:rFonts w:ascii="Arial" w:hAnsi="Arial" w:eastAsia="Calibri" w:cs="Arial"/>
          <w:bCs/>
        </w:rPr>
        <w:t xml:space="preserve">troškovi </w:t>
      </w:r>
      <w:r>
        <w:rPr>
          <w:rFonts w:hint="default" w:ascii="Arial" w:hAnsi="Arial" w:eastAsia="Calibri" w:cs="Arial"/>
          <w:bCs/>
          <w:lang w:val="hr-HR"/>
        </w:rPr>
        <w:t>robotike, investicijsko i tekuće održavanje te ulaganje u nadstrešnice.</w:t>
      </w:r>
    </w:p>
    <w:p w14:paraId="5C62ABB8">
      <w:pPr>
        <w:jc w:val="both"/>
        <w:rPr>
          <w:rFonts w:ascii="Arial" w:hAnsi="Arial" w:eastAsia="Calibri" w:cs="Arial"/>
          <w:bCs/>
        </w:rPr>
      </w:pPr>
      <w:r>
        <w:rPr>
          <w:rFonts w:ascii="Arial" w:hAnsi="Arial" w:eastAsia="Calibri" w:cs="Arial"/>
          <w:bCs/>
        </w:rPr>
        <w:t xml:space="preserve">Prihodima decentraliziranih i namjenskih sredstava Istarske županije financiraju se redovna djelatnost – minimalni standard, materijalni rashodi po stvarnom trošku, materijalni troškovi iznad standarda (prijevoz učenika, energenti, zdravstveni pregledi, premije osiguranja imovine i zaposlenih, projekt Zavičajna nastava, financiranje pomoćnika u nastavi za učenike s poteškoćama, </w:t>
      </w:r>
      <w:r>
        <w:rPr>
          <w:rFonts w:hint="default" w:ascii="Arial" w:hAnsi="Arial" w:eastAsia="Calibri" w:cs="Arial"/>
          <w:bCs/>
          <w:lang w:val="hr-HR"/>
        </w:rPr>
        <w:t xml:space="preserve">financiranje školskog psihologa, </w:t>
      </w:r>
      <w:r>
        <w:rPr>
          <w:rFonts w:ascii="Arial" w:hAnsi="Arial" w:eastAsia="Calibri" w:cs="Arial"/>
          <w:bCs/>
        </w:rPr>
        <w:t>održavanje školske zgrade, županijska natjecanja). Počevši od školske godine 2023/2024. osnivač sufinancira i plaće učitelja u produženom boravku u omjeru 50:50 s</w:t>
      </w:r>
      <w:r>
        <w:rPr>
          <w:rFonts w:hint="default" w:ascii="Arial" w:hAnsi="Arial" w:eastAsia="Calibri" w:cs="Arial"/>
          <w:bCs/>
          <w:lang w:val="hr-HR"/>
        </w:rPr>
        <w:t xml:space="preserve"> Općinom Barban kada se umanje sredstva koje sufinanciraju roditelji. </w:t>
      </w:r>
      <w:r>
        <w:rPr>
          <w:rFonts w:hint="default" w:ascii="Arial" w:hAnsi="Arial" w:cs="Arial"/>
          <w:b w:val="0"/>
          <w:bCs w:val="0"/>
          <w:i w:val="0"/>
          <w:iCs w:val="0"/>
          <w:sz w:val="22"/>
          <w:szCs w:val="22"/>
          <w:lang w:val="hr-HR"/>
        </w:rPr>
        <w:t>Prihodi iz proračuna Istarske županije (skupina 67) odnose se na opće prihode i primitke (izvor 11) i na decentralizirana sredstva (izvor 48). Ukupno su ostvareni prihodi u iznosu od 266.584,56 eura odnosno 95,23% od tekućeg plana.</w:t>
      </w:r>
    </w:p>
    <w:p w14:paraId="26DF73CE">
      <w:pPr>
        <w:spacing w:line="276" w:lineRule="auto"/>
        <w:jc w:val="both"/>
        <w:rPr>
          <w:rFonts w:hint="default" w:ascii="Arial" w:hAnsi="Arial" w:cs="Arial"/>
          <w:b w:val="0"/>
          <w:bCs w:val="0"/>
          <w:i w:val="0"/>
          <w:iCs w:val="0"/>
          <w:sz w:val="22"/>
          <w:szCs w:val="22"/>
          <w:lang w:val="hr-HR"/>
        </w:rPr>
      </w:pPr>
      <w:r>
        <w:rPr>
          <w:rFonts w:ascii="Arial" w:hAnsi="Arial" w:eastAsia="Calibri" w:cs="Arial"/>
          <w:bCs/>
        </w:rPr>
        <w:t xml:space="preserve">Ostale prihodi čine vlastiti prihodi (zakup dvorane) i donacije te prihodi po posebnim propisima (sufinaciranje produženog boravka, ručka, terenske nastave i dr.)  </w:t>
      </w:r>
      <w:r>
        <w:rPr>
          <w:rFonts w:hint="default" w:ascii="Arial" w:hAnsi="Arial" w:cs="Arial"/>
          <w:b w:val="0"/>
          <w:bCs w:val="0"/>
          <w:i w:val="0"/>
          <w:iCs w:val="0"/>
          <w:sz w:val="22"/>
          <w:szCs w:val="22"/>
          <w:lang w:val="hr-HR"/>
        </w:rPr>
        <w:t>Prihodi za posebne namjene (skupina 65 -izvor financiranja 47) odnose se na prihode sufinancirane od strane roditelja  i oni su ostvareni u iznosu 25.120,50 eura što iznosi 88,67 % planiranih prihoda za 2024 godinu. Prihodi od prodaje proizvoda i robe te pruženih usluga  i prihodi od donacija (skupina 66) odnose se na vlastite prihode  od najma školskog prostora i prodaje proizvoda učeničke zadruge Smokvenjak ( izvor 32) te prihode od donacija (izvor 62) u ukupnom iznosu od 8.752,50 eura.</w:t>
      </w:r>
    </w:p>
    <w:p w14:paraId="213D57C1">
      <w:pPr>
        <w:jc w:val="both"/>
        <w:rPr>
          <w:rFonts w:hint="default" w:ascii="Arial" w:hAnsi="Arial" w:cs="Arial"/>
          <w:b w:val="0"/>
          <w:bCs w:val="0"/>
          <w:i w:val="0"/>
          <w:iCs w:val="0"/>
          <w:sz w:val="22"/>
          <w:szCs w:val="22"/>
          <w:lang w:val="hr-HR"/>
        </w:rPr>
      </w:pPr>
      <w:r>
        <w:rPr>
          <w:rFonts w:hint="default" w:ascii="Arial" w:hAnsi="Arial" w:cs="Arial"/>
          <w:b w:val="0"/>
          <w:bCs w:val="0"/>
          <w:i w:val="0"/>
          <w:iCs w:val="0"/>
          <w:sz w:val="22"/>
          <w:szCs w:val="22"/>
          <w:lang w:val="hr-HR"/>
        </w:rPr>
        <w:t>Na dan 01. siječnja 2024 godine stanje novčanih sredstava iznosilo je 14.512,99 eura, dok je na dan 31.12.2024. iznosilo 20.627,88 eura. S obzirom da se računi plaćaju prema dospjelosti velik dio računa iz prosinca podmiren je u siječnju 2025. godine.</w:t>
      </w:r>
    </w:p>
    <w:p w14:paraId="56AE4677">
      <w:pPr>
        <w:jc w:val="both"/>
        <w:rPr>
          <w:rFonts w:hint="default" w:ascii="Arial" w:hAnsi="Arial" w:cs="Arial"/>
          <w:b w:val="0"/>
          <w:bCs w:val="0"/>
          <w:i w:val="0"/>
          <w:iCs w:val="0"/>
          <w:sz w:val="22"/>
          <w:szCs w:val="22"/>
          <w:lang w:val="hr-HR"/>
        </w:rPr>
      </w:pPr>
    </w:p>
    <w:p w14:paraId="587CFFE0">
      <w:pPr>
        <w:jc w:val="both"/>
        <w:rPr>
          <w:rFonts w:hint="default" w:ascii="Arial" w:hAnsi="Arial" w:cs="Arial"/>
          <w:b/>
          <w:bCs/>
          <w:i w:val="0"/>
          <w:iCs w:val="0"/>
          <w:sz w:val="22"/>
          <w:szCs w:val="22"/>
          <w:lang w:val="hr-HR"/>
        </w:rPr>
      </w:pPr>
      <w:r>
        <w:rPr>
          <w:rFonts w:hint="default" w:ascii="Arial" w:hAnsi="Arial" w:cs="Arial"/>
          <w:b/>
          <w:bCs/>
          <w:i w:val="0"/>
          <w:iCs w:val="0"/>
          <w:sz w:val="22"/>
          <w:szCs w:val="22"/>
          <w:lang w:val="hr-HR"/>
        </w:rPr>
        <w:t xml:space="preserve">OBRAZLOŽENJE POSEBNOG DIJELA </w:t>
      </w:r>
    </w:p>
    <w:p w14:paraId="1F232779">
      <w:pPr>
        <w:spacing w:line="276" w:lineRule="auto"/>
        <w:jc w:val="both"/>
        <w:rPr>
          <w:rFonts w:ascii="Arial" w:hAnsi="Arial" w:cs="Arial"/>
        </w:rPr>
      </w:pPr>
      <w:r>
        <w:rPr>
          <w:rFonts w:ascii="Arial" w:hAnsi="Arial" w:cs="Arial"/>
        </w:rPr>
        <w:t>U nastavku se opisuju ostvareni programi, aktivnosti i projekti škole, zajedno s pripadajućim ciljevima i pokazateljima uspješnosti. Ciljevi su usklađeni sa strateškim dokumentom Provedbeni program Istarske županije 2022.-2025.</w:t>
      </w:r>
    </w:p>
    <w:p w14:paraId="30C749F9">
      <w:pPr>
        <w:numPr>
          <w:ilvl w:val="0"/>
          <w:numId w:val="1"/>
        </w:numPr>
        <w:jc w:val="both"/>
        <w:rPr>
          <w:rFonts w:hint="default" w:ascii="Arial" w:hAnsi="Arial" w:cs="Arial"/>
          <w:b/>
          <w:bCs/>
          <w:i w:val="0"/>
          <w:iCs w:val="0"/>
          <w:sz w:val="22"/>
          <w:szCs w:val="22"/>
          <w:u w:val="none"/>
          <w:lang w:val="hr-HR"/>
        </w:rPr>
      </w:pPr>
      <w:r>
        <w:rPr>
          <w:rFonts w:hint="default" w:ascii="Arial" w:hAnsi="Arial" w:cs="Arial"/>
          <w:b/>
          <w:bCs/>
          <w:sz w:val="22"/>
          <w:szCs w:val="22"/>
          <w:u w:val="none"/>
        </w:rPr>
        <w:t>PROGRAM</w:t>
      </w:r>
      <w:r>
        <w:rPr>
          <w:rFonts w:hint="default" w:ascii="Arial" w:hAnsi="Arial" w:cs="Arial"/>
          <w:b/>
          <w:bCs/>
          <w:sz w:val="22"/>
          <w:szCs w:val="22"/>
          <w:u w:val="none"/>
          <w:lang w:val="hr-HR"/>
        </w:rPr>
        <w:t xml:space="preserve"> </w:t>
      </w:r>
      <w:r>
        <w:rPr>
          <w:rFonts w:hint="default" w:ascii="Arial" w:hAnsi="Arial" w:cs="Arial"/>
          <w:b/>
          <w:bCs/>
          <w:sz w:val="22"/>
          <w:szCs w:val="22"/>
          <w:u w:val="none"/>
        </w:rPr>
        <w:t>2101</w:t>
      </w:r>
      <w:r>
        <w:rPr>
          <w:rFonts w:hint="default" w:ascii="Arial" w:hAnsi="Arial" w:cs="Arial"/>
          <w:b/>
          <w:bCs/>
          <w:sz w:val="22"/>
          <w:szCs w:val="22"/>
          <w:u w:val="none"/>
          <w:lang w:val="hr-HR"/>
        </w:rPr>
        <w:t xml:space="preserve">: </w:t>
      </w:r>
      <w:r>
        <w:rPr>
          <w:rFonts w:hint="default" w:ascii="Arial" w:hAnsi="Arial" w:cs="Arial"/>
          <w:b/>
          <w:bCs/>
          <w:sz w:val="22"/>
          <w:szCs w:val="22"/>
          <w:u w:val="none"/>
        </w:rPr>
        <w:t>REDOVNA DJELATNOST OSNOVNIH ŠKOLA – MINIMALNI STANDARD</w:t>
      </w:r>
    </w:p>
    <w:p w14:paraId="370BCAEB">
      <w:pPr>
        <w:pStyle w:val="6"/>
        <w:numPr>
          <w:ilvl w:val="1"/>
          <w:numId w:val="2"/>
        </w:numPr>
        <w:spacing w:after="0" w:line="276" w:lineRule="auto"/>
        <w:jc w:val="both"/>
        <w:rPr>
          <w:rFonts w:ascii="Arial" w:hAnsi="Arial" w:cs="Arial"/>
        </w:rPr>
      </w:pPr>
      <w:r>
        <w:rPr>
          <w:rFonts w:ascii="Arial" w:hAnsi="Arial" w:cs="Arial"/>
        </w:rPr>
        <w:t>AKTIVNOST A210101: MATERIJALNI RASHODI OŠ PO KRITERIJIMA</w:t>
      </w:r>
    </w:p>
    <w:p w14:paraId="0BBB5AB7">
      <w:pPr>
        <w:spacing w:line="276" w:lineRule="auto"/>
        <w:ind w:left="708"/>
        <w:jc w:val="both"/>
        <w:rPr>
          <w:rFonts w:ascii="Arial" w:hAnsi="Arial" w:cs="Arial"/>
        </w:rPr>
      </w:pPr>
      <w:r>
        <w:rPr>
          <w:rFonts w:ascii="Arial" w:hAnsi="Arial" w:cs="Arial"/>
        </w:rPr>
        <w:t>Redovna djelatnost škola financirana je iz decentraliziranih sredstava IŽ iz koje se financiraju materijalni i financijski rashodi, rashodi za materijal i dijelove za tekuće i investicijsko održavanje, usluge tekućeg i investicijskog održavanja. Izračun mjesečne dotacije provodi se na temelju izračuna po broju učenika (5,04 eur po učeniku), po broju razrednih odjela (39,82 eur po odjelu) i za ustanovu (265,45 eur po građevini). Sredstva se troše namjenski i to samo za financiranje materijalnih i financijskih rashoda (prema ekonomskoj klasifikaciji) nužnih za realizaciju nastavnog plana i programa.</w:t>
      </w:r>
    </w:p>
    <w:p w14:paraId="6D69D283">
      <w:pPr>
        <w:pStyle w:val="6"/>
        <w:numPr>
          <w:ilvl w:val="1"/>
          <w:numId w:val="2"/>
        </w:numPr>
        <w:spacing w:after="0" w:line="276" w:lineRule="auto"/>
        <w:jc w:val="both"/>
        <w:rPr>
          <w:rFonts w:ascii="Arial" w:hAnsi="Arial" w:cs="Arial"/>
          <w:color w:val="000000" w:themeColor="text1"/>
          <w14:textFill>
            <w14:solidFill>
              <w14:schemeClr w14:val="tx1"/>
            </w14:solidFill>
          </w14:textFill>
        </w:rPr>
      </w:pPr>
      <w:r>
        <w:rPr>
          <w:rFonts w:ascii="Arial" w:hAnsi="Arial" w:cs="Arial"/>
        </w:rPr>
        <w:t xml:space="preserve">AKTIVNOST A210102 MATERIJALNI RASHODI OŠ PO STVARNOM TROŠKU </w:t>
      </w:r>
    </w:p>
    <w:p w14:paraId="74CC6451">
      <w:pPr>
        <w:spacing w:line="276" w:lineRule="auto"/>
        <w:ind w:left="708"/>
        <w:jc w:val="both"/>
        <w:rPr>
          <w:rFonts w:ascii="Arial" w:hAnsi="Arial" w:cs="Arial"/>
        </w:rPr>
      </w:pPr>
      <w:r>
        <w:rPr>
          <w:rFonts w:ascii="Arial" w:hAnsi="Arial" w:cs="Arial"/>
          <w:color w:val="000000" w:themeColor="text1"/>
          <w14:textFill>
            <w14:solidFill>
              <w14:schemeClr w14:val="tx1"/>
            </w14:solidFill>
          </w14:textFill>
        </w:rPr>
        <w:t>U ovoj aktivnosti planirani su materijalni rashodi škole po stvarnom trošku, a odnose se na zdravstvene preglede djelatnika i prijevoz učenika. Troškovi se podmiruju iz decentraliziranih sredstava IŽ.</w:t>
      </w:r>
    </w:p>
    <w:p w14:paraId="6BC5F2CA">
      <w:pPr>
        <w:pStyle w:val="6"/>
        <w:numPr>
          <w:ilvl w:val="1"/>
          <w:numId w:val="2"/>
        </w:numPr>
        <w:spacing w:after="0" w:line="276" w:lineRule="auto"/>
        <w:jc w:val="both"/>
        <w:rPr>
          <w:rFonts w:ascii="Arial" w:hAnsi="Arial" w:cs="Arial"/>
          <w:color w:val="000000" w:themeColor="text1"/>
          <w14:textFill>
            <w14:solidFill>
              <w14:schemeClr w14:val="tx1"/>
            </w14:solidFill>
          </w14:textFill>
        </w:rPr>
      </w:pPr>
      <w:r>
        <w:rPr>
          <w:rFonts w:ascii="Arial" w:hAnsi="Arial" w:cs="Arial"/>
        </w:rPr>
        <w:t xml:space="preserve">AKTIVNOST A210103 MATERIJALNI RASHODI OŠ PO STVARNOM TROŠKU </w:t>
      </w:r>
      <w:r>
        <w:rPr>
          <w:rFonts w:ascii="Arial" w:hAnsi="Arial" w:cs="Arial"/>
          <w:color w:val="000000" w:themeColor="text1"/>
          <w14:textFill>
            <w14:solidFill>
              <w14:schemeClr w14:val="tx1"/>
            </w14:solidFill>
          </w14:textFill>
        </w:rPr>
        <w:t>- DRUGI IZVORI</w:t>
      </w:r>
    </w:p>
    <w:p w14:paraId="6E12E79C">
      <w:pPr>
        <w:spacing w:line="276" w:lineRule="auto"/>
        <w:ind w:left="708"/>
        <w:jc w:val="both"/>
        <w:rPr>
          <w:rFonts w:ascii="Arial" w:hAnsi="Arial" w:cs="Arial"/>
        </w:rPr>
      </w:pPr>
      <w:r>
        <w:rPr>
          <w:rFonts w:ascii="Arial" w:hAnsi="Arial" w:cs="Arial"/>
          <w:color w:val="000000" w:themeColor="text1"/>
          <w14:textFill>
            <w14:solidFill>
              <w14:schemeClr w14:val="tx1"/>
            </w14:solidFill>
          </w14:textFill>
        </w:rPr>
        <w:t>Ovom aktivnošću obuhvaćeno je financiranje dijela troškova za energente</w:t>
      </w:r>
      <w:r>
        <w:rPr>
          <w:rFonts w:hint="default" w:ascii="Arial" w:hAnsi="Arial" w:cs="Arial"/>
          <w:color w:val="000000" w:themeColor="text1"/>
          <w:lang w:val="hr-HR"/>
          <w14:textFill>
            <w14:solidFill>
              <w14:schemeClr w14:val="tx1"/>
            </w14:solidFill>
          </w14:textFill>
        </w:rPr>
        <w:t xml:space="preserve"> i ostalih materijalnih troškova</w:t>
      </w:r>
      <w:r>
        <w:rPr>
          <w:rFonts w:ascii="Arial" w:hAnsi="Arial" w:cs="Arial"/>
          <w:color w:val="000000" w:themeColor="text1"/>
          <w14:textFill>
            <w14:solidFill>
              <w14:schemeClr w14:val="tx1"/>
            </w14:solidFill>
          </w14:textFill>
        </w:rPr>
        <w:t xml:space="preserve"> iz vlastitih prihoda škole.</w:t>
      </w:r>
    </w:p>
    <w:p w14:paraId="0F17EB82">
      <w:pPr>
        <w:pStyle w:val="6"/>
        <w:numPr>
          <w:ilvl w:val="1"/>
          <w:numId w:val="2"/>
        </w:numPr>
        <w:spacing w:after="0" w:line="276" w:lineRule="auto"/>
        <w:jc w:val="both"/>
        <w:rPr>
          <w:rFonts w:ascii="Arial" w:hAnsi="Arial" w:cs="Arial"/>
        </w:rPr>
      </w:pPr>
      <w:r>
        <w:rPr>
          <w:rFonts w:ascii="Arial" w:hAnsi="Arial" w:cs="Arial"/>
        </w:rPr>
        <w:t>AKTIVNOST A210104 PLAĆE I DRUGI RASHODI ZA ZAPOSLENE OŠ</w:t>
      </w:r>
    </w:p>
    <w:p w14:paraId="28EA0D35">
      <w:pPr>
        <w:spacing w:line="276" w:lineRule="auto"/>
        <w:ind w:left="708"/>
        <w:jc w:val="both"/>
        <w:rPr>
          <w:rFonts w:ascii="Arial" w:hAnsi="Arial" w:cs="Arial"/>
        </w:rPr>
      </w:pPr>
      <w:r>
        <w:rPr>
          <w:rFonts w:ascii="Arial" w:hAnsi="Arial" w:cs="Arial"/>
        </w:rPr>
        <w:t>Aktivnost se odnosi na troškove plaća, ostale rashodi za zaposlene (prigodne nagrade i pomoći), doprinose iz i na plaću, naknade za prijevoz, rad na terenu i odvojeni život, a podmiruju se iz državnog proračuna, odnosno nadležnog ministarstva za obrazovanje.</w:t>
      </w:r>
    </w:p>
    <w:p w14:paraId="756A9549">
      <w:pPr>
        <w:spacing w:line="276" w:lineRule="auto"/>
        <w:jc w:val="both"/>
        <w:rPr>
          <w:rFonts w:ascii="Arial" w:hAnsi="Arial" w:cs="Arial"/>
        </w:rPr>
      </w:pPr>
      <w:r>
        <w:rPr>
          <w:rFonts w:ascii="Arial" w:hAnsi="Arial" w:cs="Arial"/>
        </w:rPr>
        <w:t>CILJ USPJEŠNOSTI (mjere iz Provedbenog programa IŽ 2022-2025)</w:t>
      </w:r>
    </w:p>
    <w:p w14:paraId="2E81A031">
      <w:pPr>
        <w:spacing w:line="276" w:lineRule="auto"/>
        <w:jc w:val="both"/>
        <w:rPr>
          <w:rFonts w:ascii="Arial" w:hAnsi="Arial" w:cs="Arial"/>
        </w:rPr>
      </w:pPr>
      <w:r>
        <w:rPr>
          <w:rFonts w:ascii="Arial" w:hAnsi="Arial" w:cs="Arial"/>
        </w:rPr>
        <w:t>2.1.2. Osiguranje i poboljšanje dostupnosti obrazovanja djeci i roditeljima/starateljima – za aktivnosti A210101, A210102, A210103</w:t>
      </w:r>
    </w:p>
    <w:p w14:paraId="5939AB34">
      <w:pPr>
        <w:spacing w:line="276" w:lineRule="auto"/>
        <w:jc w:val="both"/>
        <w:rPr>
          <w:rFonts w:ascii="Arial" w:hAnsi="Arial" w:cs="Arial"/>
        </w:rPr>
      </w:pPr>
      <w:r>
        <w:rPr>
          <w:rFonts w:ascii="Arial" w:hAnsi="Arial" w:cs="Arial"/>
        </w:rPr>
        <w:t>2.1.8.  Osiguranje kvalitetnog odgojno obrazovnog kadra i suradnje ključnih aktera – za aktivnost A210104</w:t>
      </w:r>
    </w:p>
    <w:p w14:paraId="0099898E">
      <w:pPr>
        <w:spacing w:line="276" w:lineRule="auto"/>
        <w:jc w:val="both"/>
        <w:rPr>
          <w:rFonts w:ascii="Arial" w:hAnsi="Arial" w:cs="Arial"/>
        </w:rPr>
      </w:pPr>
    </w:p>
    <w:p w14:paraId="33E93B23">
      <w:pPr>
        <w:spacing w:line="276" w:lineRule="auto"/>
        <w:jc w:val="both"/>
        <w:rPr>
          <w:rFonts w:ascii="Arial" w:hAnsi="Arial" w:cs="Arial"/>
        </w:rPr>
      </w:pPr>
      <w:r>
        <w:rPr>
          <w:rFonts w:ascii="Arial" w:hAnsi="Arial" w:cs="Arial"/>
        </w:rPr>
        <w:t>Ciljevi su ostvareni.</w:t>
      </w:r>
    </w:p>
    <w:p w14:paraId="4774A229">
      <w:pPr>
        <w:spacing w:line="276" w:lineRule="auto"/>
        <w:jc w:val="both"/>
        <w:rPr>
          <w:rFonts w:ascii="Arial" w:hAnsi="Arial" w:cs="Arial"/>
        </w:rPr>
      </w:pPr>
      <w:r>
        <w:rPr>
          <w:rFonts w:ascii="Arial" w:hAnsi="Arial" w:cs="Arial"/>
        </w:rPr>
        <w:t>POKAZATELJ USPJEŠNOSTI</w:t>
      </w:r>
    </w:p>
    <w:p w14:paraId="5C496A8E">
      <w:pPr>
        <w:spacing w:line="276" w:lineRule="auto"/>
        <w:jc w:val="both"/>
        <w:rPr>
          <w:rFonts w:ascii="Arial" w:hAnsi="Arial" w:cs="Arial"/>
        </w:rPr>
      </w:pPr>
      <w:r>
        <w:rPr>
          <w:rFonts w:ascii="Arial" w:hAnsi="Arial" w:cs="Arial"/>
        </w:rPr>
        <w:t>za mjeru 2.1.2.</w:t>
      </w:r>
    </w:p>
    <w:tbl>
      <w:tblPr>
        <w:tblStyle w:val="3"/>
        <w:tblW w:w="4338" w:type="pct"/>
        <w:tblInd w:w="0" w:type="dxa"/>
        <w:tblLayout w:type="autofit"/>
        <w:tblCellMar>
          <w:top w:w="0" w:type="dxa"/>
          <w:left w:w="108" w:type="dxa"/>
          <w:bottom w:w="0" w:type="dxa"/>
          <w:right w:w="108" w:type="dxa"/>
        </w:tblCellMar>
      </w:tblPr>
      <w:tblGrid>
        <w:gridCol w:w="2848"/>
        <w:gridCol w:w="1428"/>
        <w:gridCol w:w="1197"/>
        <w:gridCol w:w="1157"/>
        <w:gridCol w:w="1428"/>
      </w:tblGrid>
      <w:tr w14:paraId="501BA81E">
        <w:tblPrEx>
          <w:tblCellMar>
            <w:top w:w="0" w:type="dxa"/>
            <w:left w:w="108" w:type="dxa"/>
            <w:bottom w:w="0" w:type="dxa"/>
            <w:right w:w="108" w:type="dxa"/>
          </w:tblCellMar>
        </w:tblPrEx>
        <w:trPr>
          <w:trHeight w:val="340" w:hRule="atLeast"/>
        </w:trPr>
        <w:tc>
          <w:tcPr>
            <w:tcW w:w="1850" w:type="pct"/>
            <w:tcBorders>
              <w:top w:val="nil"/>
              <w:left w:val="nil"/>
              <w:bottom w:val="single" w:color="auto" w:sz="4" w:space="0"/>
              <w:right w:val="nil"/>
            </w:tcBorders>
            <w:shd w:val="clear" w:color="auto" w:fill="auto"/>
            <w:noWrap/>
            <w:vAlign w:val="center"/>
          </w:tcPr>
          <w:p w14:paraId="1A1E3ECC">
            <w:pPr>
              <w:spacing w:line="276" w:lineRule="auto"/>
              <w:rPr>
                <w:rFonts w:ascii="Arial" w:hAnsi="Arial" w:cs="Arial"/>
                <w:b/>
                <w:bCs/>
                <w:color w:val="000000"/>
                <w:sz w:val="18"/>
                <w:szCs w:val="16"/>
              </w:rPr>
            </w:pPr>
            <w:r>
              <w:rPr>
                <w:rFonts w:ascii="Arial" w:hAnsi="Arial" w:cs="Arial"/>
                <w:b/>
                <w:bCs/>
                <w:color w:val="000000"/>
                <w:sz w:val="18"/>
                <w:szCs w:val="16"/>
              </w:rPr>
              <w:t>pokazatelj rezultata</w:t>
            </w:r>
          </w:p>
        </w:tc>
        <w:tc>
          <w:tcPr>
            <w:tcW w:w="764" w:type="pct"/>
            <w:tcBorders>
              <w:top w:val="nil"/>
              <w:left w:val="nil"/>
              <w:bottom w:val="single" w:color="auto" w:sz="4" w:space="0"/>
              <w:right w:val="nil"/>
            </w:tcBorders>
            <w:shd w:val="clear" w:color="auto" w:fill="auto"/>
            <w:vAlign w:val="center"/>
          </w:tcPr>
          <w:p w14:paraId="5A232570">
            <w:pPr>
              <w:spacing w:line="276" w:lineRule="auto"/>
              <w:jc w:val="center"/>
              <w:rPr>
                <w:rFonts w:ascii="Arial" w:hAnsi="Arial" w:cs="Arial"/>
                <w:b/>
                <w:bCs/>
                <w:color w:val="000000"/>
                <w:sz w:val="18"/>
                <w:szCs w:val="16"/>
              </w:rPr>
            </w:pPr>
            <w:r>
              <w:rPr>
                <w:rFonts w:ascii="Arial" w:hAnsi="Arial" w:cs="Arial"/>
                <w:b/>
                <w:bCs/>
                <w:color w:val="000000"/>
                <w:sz w:val="18"/>
                <w:szCs w:val="16"/>
              </w:rPr>
              <w:t xml:space="preserve">početna vrijednost </w:t>
            </w:r>
          </w:p>
        </w:tc>
        <w:tc>
          <w:tcPr>
            <w:tcW w:w="764" w:type="pct"/>
            <w:tcBorders>
              <w:top w:val="nil"/>
              <w:left w:val="nil"/>
              <w:bottom w:val="single" w:color="auto" w:sz="4" w:space="0"/>
              <w:right w:val="nil"/>
            </w:tcBorders>
            <w:shd w:val="clear" w:color="auto" w:fill="auto"/>
            <w:vAlign w:val="center"/>
          </w:tcPr>
          <w:p w14:paraId="2D91AE8C">
            <w:pPr>
              <w:spacing w:line="276" w:lineRule="auto"/>
              <w:jc w:val="center"/>
              <w:rPr>
                <w:rFonts w:ascii="Arial" w:hAnsi="Arial" w:cs="Arial"/>
                <w:b/>
                <w:bCs/>
                <w:color w:val="000000"/>
                <w:sz w:val="18"/>
                <w:szCs w:val="16"/>
              </w:rPr>
            </w:pPr>
            <w:r>
              <w:rPr>
                <w:rFonts w:ascii="Arial" w:hAnsi="Arial" w:cs="Arial"/>
                <w:b/>
                <w:bCs/>
                <w:color w:val="000000"/>
                <w:sz w:val="18"/>
                <w:szCs w:val="16"/>
              </w:rPr>
              <w:t>ciljna vrijednost 202</w:t>
            </w:r>
            <w:r>
              <w:rPr>
                <w:rFonts w:hint="default" w:ascii="Arial" w:hAnsi="Arial" w:cs="Arial"/>
                <w:b/>
                <w:bCs/>
                <w:color w:val="000000"/>
                <w:sz w:val="18"/>
                <w:szCs w:val="16"/>
                <w:lang w:val="hr-HR"/>
              </w:rPr>
              <w:t>4</w:t>
            </w:r>
            <w:r>
              <w:rPr>
                <w:rFonts w:ascii="Arial" w:hAnsi="Arial" w:cs="Arial"/>
                <w:b/>
                <w:bCs/>
                <w:color w:val="000000"/>
                <w:sz w:val="18"/>
                <w:szCs w:val="16"/>
              </w:rPr>
              <w:t>.</w:t>
            </w:r>
          </w:p>
        </w:tc>
        <w:tc>
          <w:tcPr>
            <w:tcW w:w="1622" w:type="pct"/>
            <w:gridSpan w:val="2"/>
            <w:tcBorders>
              <w:top w:val="nil"/>
              <w:left w:val="nil"/>
              <w:bottom w:val="single" w:color="auto" w:sz="4" w:space="0"/>
              <w:right w:val="nil"/>
            </w:tcBorders>
            <w:shd w:val="clear" w:color="auto" w:fill="auto"/>
            <w:vAlign w:val="center"/>
          </w:tcPr>
          <w:p w14:paraId="08B3844D">
            <w:pPr>
              <w:spacing w:line="276" w:lineRule="auto"/>
              <w:jc w:val="center"/>
              <w:rPr>
                <w:rFonts w:hint="default" w:ascii="Arial" w:hAnsi="Arial" w:cs="Arial"/>
                <w:b/>
                <w:bCs/>
                <w:color w:val="000000"/>
                <w:sz w:val="18"/>
                <w:szCs w:val="16"/>
                <w:lang w:val="hr-HR"/>
              </w:rPr>
            </w:pPr>
            <w:r>
              <w:rPr>
                <w:rFonts w:ascii="Arial" w:hAnsi="Arial" w:cs="Arial"/>
                <w:b/>
                <w:bCs/>
                <w:color w:val="000000"/>
                <w:sz w:val="18"/>
                <w:szCs w:val="16"/>
              </w:rPr>
              <w:t>OSTVARENO 1-12/202</w:t>
            </w:r>
            <w:r>
              <w:rPr>
                <w:rFonts w:hint="default" w:ascii="Arial" w:hAnsi="Arial" w:cs="Arial"/>
                <w:b/>
                <w:bCs/>
                <w:color w:val="000000"/>
                <w:sz w:val="18"/>
                <w:szCs w:val="16"/>
                <w:lang w:val="hr-HR"/>
              </w:rPr>
              <w:t>4</w:t>
            </w:r>
          </w:p>
        </w:tc>
      </w:tr>
      <w:tr w14:paraId="5885EA29">
        <w:tblPrEx>
          <w:tblCellMar>
            <w:top w:w="0" w:type="dxa"/>
            <w:left w:w="108" w:type="dxa"/>
            <w:bottom w:w="0" w:type="dxa"/>
            <w:right w:w="108" w:type="dxa"/>
          </w:tblCellMar>
        </w:tblPrEx>
        <w:trPr>
          <w:trHeight w:val="340" w:hRule="atLeast"/>
        </w:trPr>
        <w:tc>
          <w:tcPr>
            <w:tcW w:w="1850" w:type="pct"/>
            <w:tcBorders>
              <w:top w:val="nil"/>
              <w:left w:val="nil"/>
              <w:bottom w:val="single" w:color="auto" w:sz="4" w:space="0"/>
              <w:right w:val="nil"/>
            </w:tcBorders>
            <w:shd w:val="clear" w:color="auto" w:fill="auto"/>
            <w:vAlign w:val="center"/>
          </w:tcPr>
          <w:p w14:paraId="0116B5B6">
            <w:pPr>
              <w:spacing w:line="276" w:lineRule="auto"/>
              <w:rPr>
                <w:rFonts w:ascii="Arial" w:hAnsi="Arial" w:cs="Arial"/>
                <w:color w:val="000000"/>
                <w:sz w:val="18"/>
                <w:szCs w:val="16"/>
              </w:rPr>
            </w:pPr>
            <w:r>
              <w:rPr>
                <w:rFonts w:ascii="Arial" w:hAnsi="Arial" w:cs="Arial"/>
                <w:color w:val="000000"/>
                <w:sz w:val="18"/>
                <w:szCs w:val="16"/>
              </w:rPr>
              <w:t>Pokrivanje materijalnih troškova potrebnih za nesmetano odvijanje nastavnog procesa</w:t>
            </w:r>
          </w:p>
        </w:tc>
        <w:tc>
          <w:tcPr>
            <w:tcW w:w="764" w:type="pct"/>
            <w:tcBorders>
              <w:top w:val="nil"/>
              <w:left w:val="nil"/>
              <w:bottom w:val="single" w:color="auto" w:sz="4" w:space="0"/>
              <w:right w:val="nil"/>
            </w:tcBorders>
            <w:shd w:val="clear" w:color="auto" w:fill="auto"/>
            <w:noWrap/>
            <w:vAlign w:val="center"/>
          </w:tcPr>
          <w:p w14:paraId="095F2EC0">
            <w:pPr>
              <w:spacing w:line="276" w:lineRule="auto"/>
              <w:jc w:val="right"/>
              <w:rPr>
                <w:rFonts w:ascii="Arial" w:hAnsi="Arial" w:cs="Arial"/>
                <w:color w:val="000000"/>
                <w:sz w:val="18"/>
                <w:szCs w:val="16"/>
              </w:rPr>
            </w:pPr>
            <w:r>
              <w:rPr>
                <w:rFonts w:hint="default" w:ascii="Arial" w:hAnsi="Arial" w:cs="Arial"/>
                <w:color w:val="000000"/>
                <w:sz w:val="18"/>
                <w:szCs w:val="16"/>
                <w:lang w:val="hr-HR"/>
              </w:rPr>
              <w:t xml:space="preserve">16.074,12 </w:t>
            </w:r>
            <w:r>
              <w:rPr>
                <w:rFonts w:ascii="Arial" w:hAnsi="Arial" w:cs="Arial"/>
                <w:color w:val="000000"/>
                <w:sz w:val="18"/>
                <w:szCs w:val="16"/>
              </w:rPr>
              <w:t>eur</w:t>
            </w:r>
          </w:p>
        </w:tc>
        <w:tc>
          <w:tcPr>
            <w:tcW w:w="764" w:type="pct"/>
            <w:tcBorders>
              <w:top w:val="nil"/>
              <w:left w:val="nil"/>
              <w:bottom w:val="single" w:color="auto" w:sz="4" w:space="0"/>
              <w:right w:val="nil"/>
            </w:tcBorders>
            <w:shd w:val="clear" w:color="auto" w:fill="auto"/>
            <w:noWrap/>
            <w:vAlign w:val="center"/>
          </w:tcPr>
          <w:p w14:paraId="62B75030">
            <w:pPr>
              <w:spacing w:line="276" w:lineRule="auto"/>
              <w:contextualSpacing/>
              <w:jc w:val="center"/>
              <w:rPr>
                <w:rFonts w:ascii="Arial" w:hAnsi="Arial" w:cs="Arial"/>
                <w:color w:val="000000"/>
                <w:sz w:val="18"/>
                <w:szCs w:val="16"/>
              </w:rPr>
            </w:pPr>
            <w:r>
              <w:rPr>
                <w:rFonts w:ascii="Arial" w:hAnsi="Arial" w:cs="Arial"/>
                <w:color w:val="000000"/>
                <w:sz w:val="18"/>
                <w:szCs w:val="16"/>
              </w:rPr>
              <w:t>kontinuirano</w:t>
            </w:r>
          </w:p>
        </w:tc>
        <w:tc>
          <w:tcPr>
            <w:tcW w:w="862" w:type="pct"/>
            <w:tcBorders>
              <w:top w:val="nil"/>
              <w:left w:val="nil"/>
              <w:bottom w:val="single" w:color="auto" w:sz="4" w:space="0"/>
              <w:right w:val="nil"/>
            </w:tcBorders>
            <w:shd w:val="clear" w:color="auto" w:fill="auto"/>
            <w:noWrap/>
            <w:vAlign w:val="center"/>
          </w:tcPr>
          <w:p w14:paraId="70CB83B8">
            <w:pPr>
              <w:spacing w:line="276" w:lineRule="auto"/>
              <w:contextualSpacing/>
              <w:jc w:val="center"/>
              <w:rPr>
                <w:rFonts w:ascii="Arial" w:hAnsi="Arial" w:cs="Arial"/>
                <w:color w:val="000000"/>
                <w:sz w:val="18"/>
                <w:szCs w:val="16"/>
              </w:rPr>
            </w:pPr>
          </w:p>
        </w:tc>
        <w:tc>
          <w:tcPr>
            <w:tcW w:w="760" w:type="pct"/>
            <w:tcBorders>
              <w:top w:val="nil"/>
              <w:left w:val="nil"/>
              <w:bottom w:val="single" w:color="auto" w:sz="4" w:space="0"/>
              <w:right w:val="nil"/>
            </w:tcBorders>
            <w:shd w:val="clear" w:color="auto" w:fill="auto"/>
            <w:noWrap/>
            <w:vAlign w:val="center"/>
          </w:tcPr>
          <w:p w14:paraId="05693130">
            <w:pPr>
              <w:spacing w:line="276" w:lineRule="auto"/>
              <w:contextualSpacing/>
              <w:jc w:val="center"/>
              <w:rPr>
                <w:rFonts w:ascii="Arial" w:hAnsi="Arial" w:cs="Arial"/>
                <w:color w:val="000000"/>
                <w:sz w:val="18"/>
                <w:szCs w:val="16"/>
              </w:rPr>
            </w:pPr>
            <w:r>
              <w:rPr>
                <w:rFonts w:hint="default" w:ascii="Arial" w:hAnsi="Arial" w:cs="Arial"/>
                <w:color w:val="000000"/>
                <w:sz w:val="18"/>
                <w:szCs w:val="16"/>
                <w:lang w:val="hr-HR"/>
              </w:rPr>
              <w:t>15</w:t>
            </w:r>
            <w:r>
              <w:rPr>
                <w:rFonts w:ascii="Arial" w:hAnsi="Arial" w:cs="Arial"/>
                <w:color w:val="000000"/>
                <w:sz w:val="18"/>
                <w:szCs w:val="16"/>
              </w:rPr>
              <w:t>.</w:t>
            </w:r>
            <w:r>
              <w:rPr>
                <w:rFonts w:hint="default" w:ascii="Arial" w:hAnsi="Arial" w:cs="Arial"/>
                <w:color w:val="000000"/>
                <w:sz w:val="18"/>
                <w:szCs w:val="16"/>
                <w:lang w:val="hr-HR"/>
              </w:rPr>
              <w:t>711,24</w:t>
            </w:r>
            <w:r>
              <w:rPr>
                <w:rFonts w:ascii="Arial" w:hAnsi="Arial" w:cs="Arial"/>
                <w:color w:val="000000"/>
                <w:sz w:val="18"/>
                <w:szCs w:val="16"/>
              </w:rPr>
              <w:t xml:space="preserve"> eur</w:t>
            </w:r>
          </w:p>
        </w:tc>
      </w:tr>
      <w:tr w14:paraId="5082A0BE">
        <w:tblPrEx>
          <w:tblCellMar>
            <w:top w:w="0" w:type="dxa"/>
            <w:left w:w="108" w:type="dxa"/>
            <w:bottom w:w="0" w:type="dxa"/>
            <w:right w:w="108" w:type="dxa"/>
          </w:tblCellMar>
        </w:tblPrEx>
        <w:trPr>
          <w:trHeight w:val="340" w:hRule="atLeast"/>
        </w:trPr>
        <w:tc>
          <w:tcPr>
            <w:tcW w:w="1850" w:type="pct"/>
            <w:tcBorders>
              <w:top w:val="single" w:color="auto" w:sz="4" w:space="0"/>
              <w:left w:val="nil"/>
              <w:bottom w:val="single" w:color="auto" w:sz="4" w:space="0"/>
              <w:right w:val="nil"/>
            </w:tcBorders>
            <w:shd w:val="clear" w:color="auto" w:fill="auto"/>
            <w:vAlign w:val="center"/>
          </w:tcPr>
          <w:p w14:paraId="0D9BDA65">
            <w:pPr>
              <w:spacing w:line="276" w:lineRule="auto"/>
              <w:rPr>
                <w:rFonts w:ascii="Arial" w:hAnsi="Arial" w:cs="Arial"/>
                <w:color w:val="000000"/>
                <w:sz w:val="18"/>
                <w:szCs w:val="16"/>
              </w:rPr>
            </w:pPr>
            <w:r>
              <w:rPr>
                <w:rFonts w:ascii="Arial" w:hAnsi="Arial" w:cs="Arial"/>
                <w:color w:val="000000"/>
                <w:sz w:val="18"/>
                <w:szCs w:val="16"/>
              </w:rPr>
              <w:t>Pokrivanje troškova prijevoza učenika, zdravstvenih pregleda radnika</w:t>
            </w:r>
          </w:p>
        </w:tc>
        <w:tc>
          <w:tcPr>
            <w:tcW w:w="764" w:type="pct"/>
            <w:tcBorders>
              <w:top w:val="single" w:color="auto" w:sz="4" w:space="0"/>
              <w:left w:val="nil"/>
              <w:bottom w:val="single" w:color="auto" w:sz="4" w:space="0"/>
              <w:right w:val="nil"/>
            </w:tcBorders>
            <w:shd w:val="clear" w:color="auto" w:fill="auto"/>
            <w:noWrap/>
            <w:vAlign w:val="center"/>
          </w:tcPr>
          <w:p w14:paraId="3FE9AF4C">
            <w:pPr>
              <w:spacing w:line="276" w:lineRule="auto"/>
              <w:jc w:val="right"/>
              <w:rPr>
                <w:rFonts w:ascii="Arial" w:hAnsi="Arial" w:cs="Arial"/>
                <w:color w:val="000000"/>
                <w:sz w:val="18"/>
                <w:szCs w:val="16"/>
              </w:rPr>
            </w:pPr>
            <w:r>
              <w:rPr>
                <w:rFonts w:hint="default" w:ascii="Arial" w:hAnsi="Arial" w:cs="Arial"/>
                <w:color w:val="000000"/>
                <w:sz w:val="18"/>
                <w:szCs w:val="16"/>
                <w:lang w:val="hr-HR"/>
              </w:rPr>
              <w:t>127.627,63</w:t>
            </w:r>
            <w:r>
              <w:rPr>
                <w:rFonts w:ascii="Arial" w:hAnsi="Arial" w:cs="Arial"/>
                <w:color w:val="000000"/>
                <w:sz w:val="18"/>
                <w:szCs w:val="16"/>
              </w:rPr>
              <w:t xml:space="preserve"> eur</w:t>
            </w:r>
          </w:p>
        </w:tc>
        <w:tc>
          <w:tcPr>
            <w:tcW w:w="764" w:type="pct"/>
            <w:tcBorders>
              <w:top w:val="single" w:color="auto" w:sz="4" w:space="0"/>
              <w:left w:val="nil"/>
              <w:bottom w:val="single" w:color="auto" w:sz="4" w:space="0"/>
              <w:right w:val="nil"/>
            </w:tcBorders>
            <w:shd w:val="clear" w:color="auto" w:fill="auto"/>
            <w:noWrap/>
            <w:vAlign w:val="center"/>
          </w:tcPr>
          <w:p w14:paraId="744EE852">
            <w:pPr>
              <w:spacing w:line="276" w:lineRule="auto"/>
              <w:jc w:val="center"/>
              <w:rPr>
                <w:rFonts w:ascii="Arial" w:hAnsi="Arial" w:cs="Arial"/>
                <w:color w:val="000000"/>
                <w:sz w:val="18"/>
                <w:szCs w:val="16"/>
              </w:rPr>
            </w:pPr>
            <w:r>
              <w:rPr>
                <w:rFonts w:ascii="Arial" w:hAnsi="Arial" w:cs="Arial"/>
                <w:color w:val="000000"/>
                <w:sz w:val="18"/>
                <w:szCs w:val="16"/>
              </w:rPr>
              <w:t>kontinuirano</w:t>
            </w:r>
          </w:p>
        </w:tc>
        <w:tc>
          <w:tcPr>
            <w:tcW w:w="862" w:type="pct"/>
            <w:tcBorders>
              <w:top w:val="single" w:color="auto" w:sz="4" w:space="0"/>
              <w:left w:val="nil"/>
              <w:bottom w:val="single" w:color="auto" w:sz="4" w:space="0"/>
              <w:right w:val="nil"/>
            </w:tcBorders>
            <w:shd w:val="clear" w:color="auto" w:fill="auto"/>
            <w:noWrap/>
            <w:vAlign w:val="center"/>
          </w:tcPr>
          <w:p w14:paraId="4E1E2753">
            <w:pPr>
              <w:spacing w:line="276" w:lineRule="auto"/>
              <w:jc w:val="center"/>
              <w:rPr>
                <w:rFonts w:ascii="Arial" w:hAnsi="Arial" w:cs="Arial"/>
                <w:color w:val="000000"/>
                <w:sz w:val="18"/>
                <w:szCs w:val="16"/>
              </w:rPr>
            </w:pPr>
          </w:p>
        </w:tc>
        <w:tc>
          <w:tcPr>
            <w:tcW w:w="760" w:type="pct"/>
            <w:tcBorders>
              <w:top w:val="single" w:color="auto" w:sz="4" w:space="0"/>
              <w:left w:val="nil"/>
              <w:bottom w:val="single" w:color="auto" w:sz="4" w:space="0"/>
              <w:right w:val="nil"/>
            </w:tcBorders>
            <w:shd w:val="clear" w:color="auto" w:fill="auto"/>
            <w:noWrap/>
            <w:vAlign w:val="center"/>
          </w:tcPr>
          <w:p w14:paraId="607ECB63">
            <w:pPr>
              <w:spacing w:line="276" w:lineRule="auto"/>
              <w:jc w:val="center"/>
              <w:rPr>
                <w:rFonts w:ascii="Arial" w:hAnsi="Arial" w:cs="Arial"/>
                <w:color w:val="000000"/>
                <w:sz w:val="18"/>
                <w:szCs w:val="16"/>
              </w:rPr>
            </w:pPr>
            <w:r>
              <w:rPr>
                <w:rFonts w:hint="default" w:ascii="Arial" w:hAnsi="Arial" w:cs="Arial"/>
                <w:color w:val="000000"/>
                <w:sz w:val="18"/>
                <w:szCs w:val="16"/>
                <w:lang w:val="hr-HR"/>
              </w:rPr>
              <w:t>141</w:t>
            </w:r>
            <w:r>
              <w:rPr>
                <w:rFonts w:ascii="Arial" w:hAnsi="Arial" w:cs="Arial"/>
                <w:color w:val="000000"/>
                <w:sz w:val="18"/>
                <w:szCs w:val="16"/>
              </w:rPr>
              <w:t>.</w:t>
            </w:r>
            <w:r>
              <w:rPr>
                <w:rFonts w:hint="default" w:ascii="Arial" w:hAnsi="Arial" w:cs="Arial"/>
                <w:color w:val="000000"/>
                <w:sz w:val="18"/>
                <w:szCs w:val="16"/>
                <w:lang w:val="hr-HR"/>
              </w:rPr>
              <w:t>232,58</w:t>
            </w:r>
            <w:r>
              <w:rPr>
                <w:rFonts w:ascii="Arial" w:hAnsi="Arial" w:cs="Arial"/>
                <w:color w:val="000000"/>
                <w:sz w:val="18"/>
                <w:szCs w:val="16"/>
              </w:rPr>
              <w:t xml:space="preserve"> eur</w:t>
            </w:r>
          </w:p>
        </w:tc>
      </w:tr>
    </w:tbl>
    <w:p w14:paraId="4C973659">
      <w:pPr>
        <w:spacing w:line="276" w:lineRule="auto"/>
        <w:jc w:val="both"/>
        <w:rPr>
          <w:rFonts w:ascii="Arial" w:hAnsi="Arial" w:cs="Arial"/>
        </w:rPr>
      </w:pPr>
    </w:p>
    <w:p w14:paraId="262ABC86">
      <w:pPr>
        <w:spacing w:line="276" w:lineRule="auto"/>
        <w:jc w:val="both"/>
        <w:rPr>
          <w:rFonts w:ascii="Arial" w:hAnsi="Arial" w:cs="Arial"/>
        </w:rPr>
      </w:pPr>
      <w:r>
        <w:rPr>
          <w:rFonts w:ascii="Arial" w:hAnsi="Arial" w:cs="Arial"/>
        </w:rPr>
        <w:t>POKAZATELJ USPJEŠNOSTI</w:t>
      </w:r>
    </w:p>
    <w:p w14:paraId="03C6F50E">
      <w:pPr>
        <w:spacing w:line="276" w:lineRule="auto"/>
        <w:jc w:val="both"/>
        <w:rPr>
          <w:rFonts w:ascii="Arial" w:hAnsi="Arial" w:cs="Arial"/>
        </w:rPr>
      </w:pPr>
      <w:r>
        <w:rPr>
          <w:rFonts w:ascii="Arial" w:hAnsi="Arial" w:cs="Arial"/>
        </w:rPr>
        <w:t>za mjeru 2.1.8.</w:t>
      </w:r>
    </w:p>
    <w:tbl>
      <w:tblPr>
        <w:tblStyle w:val="3"/>
        <w:tblW w:w="4309" w:type="pct"/>
        <w:tblInd w:w="0" w:type="dxa"/>
        <w:tblLayout w:type="autofit"/>
        <w:tblCellMar>
          <w:top w:w="0" w:type="dxa"/>
          <w:left w:w="108" w:type="dxa"/>
          <w:bottom w:w="0" w:type="dxa"/>
          <w:right w:w="108" w:type="dxa"/>
        </w:tblCellMar>
      </w:tblPr>
      <w:tblGrid>
        <w:gridCol w:w="2233"/>
        <w:gridCol w:w="1540"/>
        <w:gridCol w:w="1410"/>
        <w:gridCol w:w="1410"/>
        <w:gridCol w:w="1411"/>
      </w:tblGrid>
      <w:tr w14:paraId="5797766D">
        <w:tblPrEx>
          <w:tblCellMar>
            <w:top w:w="0" w:type="dxa"/>
            <w:left w:w="108" w:type="dxa"/>
            <w:bottom w:w="0" w:type="dxa"/>
            <w:right w:w="108" w:type="dxa"/>
          </w:tblCellMar>
        </w:tblPrEx>
        <w:trPr>
          <w:trHeight w:val="675" w:hRule="atLeast"/>
        </w:trPr>
        <w:tc>
          <w:tcPr>
            <w:tcW w:w="1395" w:type="pct"/>
            <w:tcBorders>
              <w:top w:val="nil"/>
              <w:left w:val="nil"/>
              <w:bottom w:val="single" w:color="auto" w:sz="4" w:space="0"/>
              <w:right w:val="nil"/>
            </w:tcBorders>
            <w:shd w:val="clear" w:color="auto" w:fill="auto"/>
            <w:noWrap/>
            <w:vAlign w:val="center"/>
          </w:tcPr>
          <w:p w14:paraId="4CD2F0C6">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962" w:type="pct"/>
            <w:tcBorders>
              <w:top w:val="nil"/>
              <w:left w:val="nil"/>
              <w:bottom w:val="single" w:color="auto" w:sz="4" w:space="0"/>
              <w:right w:val="nil"/>
            </w:tcBorders>
            <w:shd w:val="clear" w:color="auto" w:fill="auto"/>
            <w:vAlign w:val="center"/>
          </w:tcPr>
          <w:p w14:paraId="5CC0A67B">
            <w:pPr>
              <w:spacing w:line="276" w:lineRule="auto"/>
              <w:jc w:val="center"/>
              <w:rPr>
                <w:rFonts w:ascii="Arial" w:hAnsi="Arial" w:cs="Arial"/>
                <w:b/>
                <w:bCs/>
                <w:color w:val="000000"/>
                <w:sz w:val="18"/>
                <w:szCs w:val="18"/>
              </w:rPr>
            </w:pPr>
            <w:r>
              <w:rPr>
                <w:rFonts w:ascii="Arial" w:hAnsi="Arial" w:cs="Arial"/>
                <w:b/>
                <w:bCs/>
                <w:color w:val="000000"/>
                <w:sz w:val="18"/>
                <w:szCs w:val="18"/>
              </w:rPr>
              <w:t>početna vrijednost – broj zaposl.</w:t>
            </w:r>
          </w:p>
        </w:tc>
        <w:tc>
          <w:tcPr>
            <w:tcW w:w="881" w:type="pct"/>
            <w:tcBorders>
              <w:top w:val="nil"/>
              <w:left w:val="nil"/>
              <w:bottom w:val="single" w:color="auto" w:sz="4" w:space="0"/>
              <w:right w:val="nil"/>
            </w:tcBorders>
            <w:shd w:val="clear" w:color="auto" w:fill="auto"/>
            <w:vAlign w:val="center"/>
          </w:tcPr>
          <w:p w14:paraId="7357DA28">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762" w:type="pct"/>
            <w:gridSpan w:val="2"/>
            <w:tcBorders>
              <w:top w:val="nil"/>
              <w:left w:val="nil"/>
              <w:bottom w:val="single" w:color="auto" w:sz="4" w:space="0"/>
              <w:right w:val="nil"/>
            </w:tcBorders>
            <w:shd w:val="clear" w:color="auto" w:fill="auto"/>
            <w:vAlign w:val="center"/>
          </w:tcPr>
          <w:p w14:paraId="4B503C93">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2D6F3787">
        <w:tblPrEx>
          <w:tblCellMar>
            <w:top w:w="0" w:type="dxa"/>
            <w:left w:w="108" w:type="dxa"/>
            <w:bottom w:w="0" w:type="dxa"/>
            <w:right w:w="108" w:type="dxa"/>
          </w:tblCellMar>
        </w:tblPrEx>
        <w:trPr>
          <w:trHeight w:val="675" w:hRule="atLeast"/>
        </w:trPr>
        <w:tc>
          <w:tcPr>
            <w:tcW w:w="1395" w:type="pct"/>
            <w:tcBorders>
              <w:top w:val="nil"/>
              <w:left w:val="nil"/>
              <w:bottom w:val="single" w:color="auto" w:sz="4" w:space="0"/>
              <w:right w:val="nil"/>
            </w:tcBorders>
            <w:shd w:val="clear" w:color="auto" w:fill="auto"/>
            <w:vAlign w:val="center"/>
          </w:tcPr>
          <w:p w14:paraId="44387ECA">
            <w:pPr>
              <w:spacing w:line="276" w:lineRule="auto"/>
              <w:rPr>
                <w:rFonts w:ascii="Arial" w:hAnsi="Arial" w:cs="Arial"/>
                <w:color w:val="000000"/>
                <w:sz w:val="18"/>
                <w:szCs w:val="18"/>
              </w:rPr>
            </w:pPr>
            <w:r>
              <w:rPr>
                <w:rFonts w:ascii="Arial" w:hAnsi="Arial" w:cs="Arial"/>
                <w:color w:val="000000"/>
                <w:sz w:val="18"/>
                <w:szCs w:val="18"/>
              </w:rPr>
              <w:t>Redovita isplata plaća i ostalih rashoda za zaposlene - riznica</w:t>
            </w:r>
          </w:p>
        </w:tc>
        <w:tc>
          <w:tcPr>
            <w:tcW w:w="962" w:type="pct"/>
            <w:tcBorders>
              <w:top w:val="nil"/>
              <w:left w:val="nil"/>
              <w:bottom w:val="single" w:color="auto" w:sz="4" w:space="0"/>
              <w:right w:val="nil"/>
            </w:tcBorders>
            <w:shd w:val="clear" w:color="auto" w:fill="auto"/>
            <w:noWrap/>
            <w:vAlign w:val="center"/>
          </w:tcPr>
          <w:p w14:paraId="2C07B57F">
            <w:pPr>
              <w:spacing w:line="276" w:lineRule="auto"/>
              <w:jc w:val="center"/>
              <w:rPr>
                <w:rFonts w:ascii="Arial" w:hAnsi="Arial" w:cs="Arial"/>
                <w:color w:val="000000"/>
                <w:sz w:val="18"/>
                <w:szCs w:val="18"/>
              </w:rPr>
            </w:pPr>
            <w:r>
              <w:rPr>
                <w:rFonts w:hint="default" w:ascii="Arial" w:hAnsi="Arial" w:cs="Arial"/>
                <w:color w:val="000000"/>
                <w:sz w:val="18"/>
                <w:szCs w:val="18"/>
                <w:lang w:val="hr-HR"/>
              </w:rPr>
              <w:t>40</w:t>
            </w:r>
          </w:p>
        </w:tc>
        <w:tc>
          <w:tcPr>
            <w:tcW w:w="881" w:type="pct"/>
            <w:tcBorders>
              <w:top w:val="nil"/>
              <w:left w:val="nil"/>
              <w:bottom w:val="single" w:color="auto" w:sz="4" w:space="0"/>
              <w:right w:val="nil"/>
            </w:tcBorders>
            <w:shd w:val="clear" w:color="auto" w:fill="auto"/>
            <w:noWrap/>
            <w:vAlign w:val="center"/>
          </w:tcPr>
          <w:p w14:paraId="54027518">
            <w:pPr>
              <w:spacing w:line="276" w:lineRule="auto"/>
              <w:jc w:val="center"/>
              <w:rPr>
                <w:rFonts w:hint="default" w:ascii="Arial" w:hAnsi="Arial" w:cs="Arial"/>
                <w:color w:val="000000"/>
                <w:sz w:val="18"/>
                <w:szCs w:val="18"/>
                <w:lang w:val="hr-HR"/>
              </w:rPr>
            </w:pPr>
            <w:r>
              <w:rPr>
                <w:rFonts w:hint="default" w:ascii="Arial" w:hAnsi="Arial" w:cs="Arial"/>
                <w:color w:val="000000"/>
                <w:sz w:val="18"/>
                <w:szCs w:val="18"/>
                <w:lang w:val="hr-HR"/>
              </w:rPr>
              <w:t>40</w:t>
            </w:r>
          </w:p>
        </w:tc>
        <w:tc>
          <w:tcPr>
            <w:tcW w:w="881" w:type="pct"/>
            <w:tcBorders>
              <w:top w:val="nil"/>
              <w:left w:val="nil"/>
              <w:bottom w:val="single" w:color="auto" w:sz="4" w:space="0"/>
              <w:right w:val="nil"/>
            </w:tcBorders>
            <w:shd w:val="clear" w:color="auto" w:fill="auto"/>
            <w:noWrap/>
            <w:vAlign w:val="center"/>
          </w:tcPr>
          <w:p w14:paraId="062DB35C">
            <w:pPr>
              <w:spacing w:line="276" w:lineRule="auto"/>
              <w:jc w:val="center"/>
              <w:rPr>
                <w:rFonts w:ascii="Arial" w:hAnsi="Arial" w:cs="Arial"/>
                <w:color w:val="000000"/>
                <w:sz w:val="18"/>
                <w:szCs w:val="18"/>
              </w:rPr>
            </w:pPr>
          </w:p>
        </w:tc>
        <w:tc>
          <w:tcPr>
            <w:tcW w:w="881" w:type="pct"/>
            <w:tcBorders>
              <w:top w:val="nil"/>
              <w:left w:val="nil"/>
              <w:bottom w:val="single" w:color="auto" w:sz="4" w:space="0"/>
              <w:right w:val="nil"/>
            </w:tcBorders>
            <w:shd w:val="clear" w:color="auto" w:fill="auto"/>
            <w:noWrap/>
            <w:vAlign w:val="center"/>
          </w:tcPr>
          <w:p w14:paraId="78226769">
            <w:pPr>
              <w:spacing w:line="276" w:lineRule="auto"/>
              <w:jc w:val="center"/>
              <w:rPr>
                <w:rFonts w:hint="default" w:ascii="Arial" w:hAnsi="Arial" w:cs="Arial"/>
                <w:color w:val="000000"/>
                <w:sz w:val="18"/>
                <w:szCs w:val="18"/>
                <w:lang w:val="hr-HR"/>
              </w:rPr>
            </w:pPr>
            <w:r>
              <w:rPr>
                <w:rFonts w:hint="default" w:ascii="Arial" w:hAnsi="Arial" w:cs="Arial"/>
                <w:color w:val="000000"/>
                <w:sz w:val="18"/>
                <w:szCs w:val="18"/>
                <w:lang w:val="hr-HR"/>
              </w:rPr>
              <w:t>40</w:t>
            </w:r>
          </w:p>
        </w:tc>
      </w:tr>
    </w:tbl>
    <w:p w14:paraId="57425A1A">
      <w:pPr>
        <w:spacing w:line="276" w:lineRule="auto"/>
        <w:jc w:val="both"/>
        <w:rPr>
          <w:rFonts w:ascii="Arial" w:hAnsi="Arial" w:cs="Arial"/>
        </w:rPr>
      </w:pPr>
    </w:p>
    <w:p w14:paraId="1333BF23">
      <w:pPr>
        <w:spacing w:line="276" w:lineRule="auto"/>
        <w:jc w:val="both"/>
        <w:rPr>
          <w:rFonts w:ascii="Arial" w:hAnsi="Arial" w:cs="Arial"/>
        </w:rPr>
      </w:pPr>
    </w:p>
    <w:p w14:paraId="19F83B96">
      <w:pPr>
        <w:pStyle w:val="6"/>
        <w:numPr>
          <w:ilvl w:val="0"/>
          <w:numId w:val="2"/>
        </w:numPr>
        <w:spacing w:after="0" w:line="276" w:lineRule="auto"/>
        <w:jc w:val="both"/>
        <w:rPr>
          <w:rFonts w:ascii="Arial" w:hAnsi="Arial" w:cs="Arial"/>
          <w:b/>
          <w:bCs/>
        </w:rPr>
      </w:pPr>
      <w:r>
        <w:rPr>
          <w:rFonts w:ascii="Arial" w:hAnsi="Arial" w:cs="Arial"/>
          <w:b/>
          <w:bCs/>
        </w:rPr>
        <w:t>PROGRAM 2102: REDOVNA DJELATNOST OSNOVNIH ŠKOLA – IZNAD STANDARDA</w:t>
      </w:r>
    </w:p>
    <w:p w14:paraId="1C864703">
      <w:pPr>
        <w:spacing w:line="276" w:lineRule="auto"/>
        <w:jc w:val="both"/>
        <w:rPr>
          <w:rFonts w:ascii="Arial" w:hAnsi="Arial" w:cs="Arial"/>
          <w:b/>
          <w:bCs/>
          <w:u w:val="single"/>
        </w:rPr>
      </w:pPr>
    </w:p>
    <w:p w14:paraId="08DB621D">
      <w:pPr>
        <w:pStyle w:val="6"/>
        <w:numPr>
          <w:ilvl w:val="1"/>
          <w:numId w:val="2"/>
        </w:numPr>
        <w:spacing w:after="0" w:line="276" w:lineRule="auto"/>
        <w:jc w:val="both"/>
        <w:rPr>
          <w:rFonts w:ascii="Arial" w:hAnsi="Arial" w:cs="Arial"/>
          <w:bCs/>
        </w:rPr>
      </w:pPr>
      <w:r>
        <w:rPr>
          <w:rFonts w:ascii="Arial" w:hAnsi="Arial" w:cs="Arial"/>
          <w:bCs/>
        </w:rPr>
        <w:t>AKTIVNOST A210201 MATERIJALNI RASHODI OŠ PO STVARNOM TROŠKU IZNAD STANDARDA</w:t>
      </w:r>
    </w:p>
    <w:p w14:paraId="008F638A">
      <w:pPr>
        <w:spacing w:line="276" w:lineRule="auto"/>
        <w:ind w:left="708"/>
        <w:jc w:val="both"/>
        <w:rPr>
          <w:rFonts w:ascii="Arial" w:hAnsi="Arial" w:cs="Arial"/>
        </w:rPr>
      </w:pPr>
      <w:r>
        <w:rPr>
          <w:rFonts w:ascii="Arial" w:hAnsi="Arial" w:cs="Arial"/>
        </w:rPr>
        <w:t>Aktivnost Materijalni rashodi OŠ po stvarnom trošku iznad standarda obuhvaća financiranje troškova energenata (električna energija, lož ulje i plin), troškova osiguranja imovine i osoba, troškova tekućeg održavanja radi neometanog odvijanja nastavnog procesa. Sredstva se osiguravaju iz županijskog proračuna.</w:t>
      </w:r>
    </w:p>
    <w:p w14:paraId="20BF17C7">
      <w:pPr>
        <w:spacing w:line="276" w:lineRule="auto"/>
        <w:jc w:val="both"/>
        <w:rPr>
          <w:rFonts w:ascii="Arial" w:hAnsi="Arial" w:cs="Arial"/>
        </w:rPr>
      </w:pPr>
      <w:r>
        <w:rPr>
          <w:rFonts w:ascii="Arial" w:hAnsi="Arial" w:cs="Arial"/>
        </w:rPr>
        <w:t>CILJ USPJEŠNOSTI (mjere iz Provedbenog programa IŽ 2022-2025)</w:t>
      </w:r>
    </w:p>
    <w:p w14:paraId="75C6B779">
      <w:pPr>
        <w:spacing w:line="276" w:lineRule="auto"/>
        <w:jc w:val="both"/>
        <w:rPr>
          <w:rFonts w:ascii="Arial" w:hAnsi="Arial" w:cs="Arial"/>
        </w:rPr>
      </w:pPr>
      <w:r>
        <w:rPr>
          <w:rFonts w:ascii="Arial" w:hAnsi="Arial" w:cs="Arial"/>
        </w:rPr>
        <w:t>2.1.2. Osiguranje i poboljšanje dostupnosti odgoja i obrazovanja djeci i njihovim roditeljima</w:t>
      </w:r>
    </w:p>
    <w:p w14:paraId="6C3CC3F8">
      <w:pPr>
        <w:spacing w:line="276" w:lineRule="auto"/>
        <w:jc w:val="both"/>
        <w:rPr>
          <w:rFonts w:ascii="Arial" w:hAnsi="Arial" w:cs="Arial"/>
        </w:rPr>
      </w:pPr>
      <w:r>
        <w:rPr>
          <w:rFonts w:ascii="Arial" w:hAnsi="Arial" w:cs="Arial"/>
        </w:rPr>
        <w:t>Cilj je ostvaren.</w:t>
      </w:r>
    </w:p>
    <w:p w14:paraId="378AF238">
      <w:pPr>
        <w:spacing w:line="276" w:lineRule="auto"/>
        <w:jc w:val="both"/>
        <w:rPr>
          <w:rFonts w:ascii="Arial" w:hAnsi="Arial" w:cs="Arial"/>
        </w:rPr>
      </w:pPr>
    </w:p>
    <w:p w14:paraId="1143804D">
      <w:pPr>
        <w:spacing w:line="276" w:lineRule="auto"/>
        <w:jc w:val="both"/>
        <w:rPr>
          <w:rFonts w:ascii="Arial" w:hAnsi="Arial" w:cs="Arial"/>
        </w:rPr>
      </w:pPr>
      <w:r>
        <w:rPr>
          <w:rFonts w:ascii="Arial" w:hAnsi="Arial" w:cs="Arial"/>
        </w:rPr>
        <w:t>POKAZATELJ USPJEŠNOSTI</w:t>
      </w:r>
    </w:p>
    <w:p w14:paraId="1095ED14">
      <w:pPr>
        <w:spacing w:line="276" w:lineRule="auto"/>
        <w:jc w:val="both"/>
        <w:rPr>
          <w:rFonts w:ascii="Arial" w:hAnsi="Arial" w:cs="Arial"/>
        </w:rPr>
      </w:pPr>
      <w:r>
        <w:rPr>
          <w:rFonts w:ascii="Arial" w:hAnsi="Arial" w:cs="Arial"/>
        </w:rPr>
        <w:t>za mjeru 2.1.2.</w:t>
      </w:r>
    </w:p>
    <w:tbl>
      <w:tblPr>
        <w:tblStyle w:val="3"/>
        <w:tblW w:w="4323" w:type="pct"/>
        <w:tblInd w:w="0" w:type="dxa"/>
        <w:tblLayout w:type="autofit"/>
        <w:tblCellMar>
          <w:top w:w="0" w:type="dxa"/>
          <w:left w:w="108" w:type="dxa"/>
          <w:bottom w:w="0" w:type="dxa"/>
          <w:right w:w="108" w:type="dxa"/>
        </w:tblCellMar>
      </w:tblPr>
      <w:tblGrid>
        <w:gridCol w:w="2924"/>
        <w:gridCol w:w="1327"/>
        <w:gridCol w:w="1277"/>
        <w:gridCol w:w="1174"/>
        <w:gridCol w:w="1328"/>
      </w:tblGrid>
      <w:tr w14:paraId="6A4CF0D7">
        <w:tblPrEx>
          <w:tblCellMar>
            <w:top w:w="0" w:type="dxa"/>
            <w:left w:w="108" w:type="dxa"/>
            <w:bottom w:w="0" w:type="dxa"/>
            <w:right w:w="108" w:type="dxa"/>
          </w:tblCellMar>
        </w:tblPrEx>
        <w:trPr>
          <w:trHeight w:val="624" w:hRule="atLeast"/>
        </w:trPr>
        <w:tc>
          <w:tcPr>
            <w:tcW w:w="1873" w:type="pct"/>
            <w:tcBorders>
              <w:top w:val="nil"/>
              <w:left w:val="nil"/>
              <w:bottom w:val="single" w:color="auto" w:sz="4" w:space="0"/>
              <w:right w:val="nil"/>
            </w:tcBorders>
            <w:shd w:val="clear" w:color="auto" w:fill="auto"/>
            <w:noWrap/>
            <w:vAlign w:val="center"/>
          </w:tcPr>
          <w:p w14:paraId="3C985DA1">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783" w:type="pct"/>
            <w:tcBorders>
              <w:top w:val="nil"/>
              <w:left w:val="nil"/>
              <w:bottom w:val="single" w:color="auto" w:sz="4" w:space="0"/>
              <w:right w:val="nil"/>
            </w:tcBorders>
            <w:shd w:val="clear" w:color="auto" w:fill="auto"/>
            <w:vAlign w:val="center"/>
          </w:tcPr>
          <w:p w14:paraId="00EA6C0A">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početna vrijednost </w:t>
            </w:r>
          </w:p>
        </w:tc>
        <w:tc>
          <w:tcPr>
            <w:tcW w:w="783" w:type="pct"/>
            <w:tcBorders>
              <w:top w:val="nil"/>
              <w:left w:val="nil"/>
              <w:bottom w:val="single" w:color="auto" w:sz="4" w:space="0"/>
              <w:right w:val="nil"/>
            </w:tcBorders>
            <w:shd w:val="clear" w:color="auto" w:fill="auto"/>
            <w:vAlign w:val="center"/>
          </w:tcPr>
          <w:p w14:paraId="2A2B05E6">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561" w:type="pct"/>
            <w:gridSpan w:val="2"/>
            <w:tcBorders>
              <w:top w:val="nil"/>
              <w:left w:val="nil"/>
              <w:bottom w:val="single" w:color="auto" w:sz="4" w:space="0"/>
              <w:right w:val="nil"/>
            </w:tcBorders>
            <w:shd w:val="clear" w:color="auto" w:fill="auto"/>
            <w:vAlign w:val="center"/>
          </w:tcPr>
          <w:p w14:paraId="08CB2F73">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6"/>
              </w:rPr>
              <w:t>OSTVARENO 1-12/202</w:t>
            </w:r>
            <w:r>
              <w:rPr>
                <w:rFonts w:hint="default" w:ascii="Arial" w:hAnsi="Arial" w:cs="Arial"/>
                <w:b/>
                <w:bCs/>
                <w:color w:val="000000"/>
                <w:sz w:val="18"/>
                <w:szCs w:val="16"/>
                <w:lang w:val="hr-HR"/>
              </w:rPr>
              <w:t>4</w:t>
            </w:r>
          </w:p>
        </w:tc>
      </w:tr>
      <w:tr w14:paraId="1709FD08">
        <w:tblPrEx>
          <w:tblCellMar>
            <w:top w:w="0" w:type="dxa"/>
            <w:left w:w="108" w:type="dxa"/>
            <w:bottom w:w="0" w:type="dxa"/>
            <w:right w:w="108" w:type="dxa"/>
          </w:tblCellMar>
        </w:tblPrEx>
        <w:trPr>
          <w:trHeight w:val="624" w:hRule="atLeast"/>
        </w:trPr>
        <w:tc>
          <w:tcPr>
            <w:tcW w:w="1873" w:type="pct"/>
            <w:tcBorders>
              <w:top w:val="nil"/>
              <w:left w:val="nil"/>
              <w:bottom w:val="single" w:color="auto" w:sz="4" w:space="0"/>
              <w:right w:val="nil"/>
            </w:tcBorders>
            <w:shd w:val="clear" w:color="auto" w:fill="auto"/>
            <w:vAlign w:val="center"/>
          </w:tcPr>
          <w:p w14:paraId="5AA30E90">
            <w:pPr>
              <w:spacing w:line="276" w:lineRule="auto"/>
              <w:rPr>
                <w:rFonts w:ascii="Arial" w:hAnsi="Arial" w:cs="Arial"/>
                <w:color w:val="000000"/>
                <w:sz w:val="18"/>
                <w:szCs w:val="18"/>
              </w:rPr>
            </w:pPr>
            <w:r>
              <w:rPr>
                <w:rFonts w:ascii="Arial" w:hAnsi="Arial" w:cs="Arial"/>
                <w:color w:val="000000"/>
                <w:sz w:val="18"/>
                <w:szCs w:val="18"/>
              </w:rPr>
              <w:t>Pokrivanje troškova energenata, troškova usluga održavanja i premije osiguranja za nesmetano odvijanje nastavnog procesa</w:t>
            </w:r>
          </w:p>
        </w:tc>
        <w:tc>
          <w:tcPr>
            <w:tcW w:w="783" w:type="pct"/>
            <w:tcBorders>
              <w:top w:val="nil"/>
              <w:left w:val="nil"/>
              <w:bottom w:val="single" w:color="auto" w:sz="4" w:space="0"/>
              <w:right w:val="nil"/>
            </w:tcBorders>
            <w:shd w:val="clear" w:color="auto" w:fill="auto"/>
            <w:noWrap/>
            <w:vAlign w:val="center"/>
          </w:tcPr>
          <w:p w14:paraId="08FB4DEC">
            <w:pPr>
              <w:spacing w:line="276" w:lineRule="auto"/>
              <w:jc w:val="right"/>
              <w:rPr>
                <w:rFonts w:ascii="Arial" w:hAnsi="Arial" w:cs="Arial"/>
                <w:color w:val="000000"/>
                <w:sz w:val="18"/>
                <w:szCs w:val="18"/>
              </w:rPr>
            </w:pPr>
            <w:r>
              <w:rPr>
                <w:rFonts w:hint="default" w:ascii="Arial" w:hAnsi="Arial" w:cs="Arial"/>
                <w:color w:val="000000"/>
                <w:sz w:val="18"/>
                <w:szCs w:val="18"/>
                <w:lang w:val="hr-HR"/>
              </w:rPr>
              <w:t>27</w:t>
            </w:r>
            <w:r>
              <w:rPr>
                <w:rFonts w:ascii="Arial" w:hAnsi="Arial" w:cs="Arial"/>
                <w:color w:val="000000"/>
                <w:sz w:val="18"/>
                <w:szCs w:val="18"/>
              </w:rPr>
              <w:t>.</w:t>
            </w:r>
            <w:r>
              <w:rPr>
                <w:rFonts w:hint="default" w:ascii="Arial" w:hAnsi="Arial" w:cs="Arial"/>
                <w:color w:val="000000"/>
                <w:sz w:val="18"/>
                <w:szCs w:val="18"/>
                <w:lang w:val="hr-HR"/>
              </w:rPr>
              <w:t xml:space="preserve">825,81 </w:t>
            </w:r>
            <w:r>
              <w:rPr>
                <w:rFonts w:ascii="Arial" w:hAnsi="Arial" w:cs="Arial"/>
                <w:color w:val="000000"/>
                <w:sz w:val="18"/>
                <w:szCs w:val="18"/>
              </w:rPr>
              <w:t>eur</w:t>
            </w:r>
          </w:p>
        </w:tc>
        <w:tc>
          <w:tcPr>
            <w:tcW w:w="783" w:type="pct"/>
            <w:tcBorders>
              <w:top w:val="nil"/>
              <w:left w:val="nil"/>
              <w:bottom w:val="single" w:color="auto" w:sz="4" w:space="0"/>
              <w:right w:val="nil"/>
            </w:tcBorders>
            <w:shd w:val="clear" w:color="auto" w:fill="auto"/>
            <w:noWrap/>
            <w:vAlign w:val="center"/>
          </w:tcPr>
          <w:p w14:paraId="4C4C6B5D">
            <w:pPr>
              <w:spacing w:line="276" w:lineRule="auto"/>
              <w:jc w:val="center"/>
              <w:rPr>
                <w:rFonts w:ascii="Arial" w:hAnsi="Arial" w:cs="Arial"/>
                <w:color w:val="000000"/>
                <w:sz w:val="18"/>
                <w:szCs w:val="18"/>
              </w:rPr>
            </w:pPr>
            <w:r>
              <w:rPr>
                <w:rFonts w:hint="default" w:ascii="Arial" w:hAnsi="Arial" w:cs="Arial"/>
                <w:color w:val="000000"/>
                <w:sz w:val="18"/>
                <w:szCs w:val="18"/>
                <w:lang w:val="hr-HR"/>
              </w:rPr>
              <w:t>27.825,81</w:t>
            </w:r>
            <w:r>
              <w:rPr>
                <w:rFonts w:ascii="Arial" w:hAnsi="Arial" w:cs="Arial"/>
                <w:color w:val="000000"/>
                <w:sz w:val="18"/>
                <w:szCs w:val="18"/>
              </w:rPr>
              <w:t>eur</w:t>
            </w:r>
          </w:p>
        </w:tc>
        <w:tc>
          <w:tcPr>
            <w:tcW w:w="783" w:type="pct"/>
            <w:tcBorders>
              <w:top w:val="nil"/>
              <w:left w:val="nil"/>
              <w:bottom w:val="single" w:color="auto" w:sz="4" w:space="0"/>
              <w:right w:val="nil"/>
            </w:tcBorders>
            <w:shd w:val="clear" w:color="auto" w:fill="auto"/>
            <w:noWrap/>
            <w:vAlign w:val="center"/>
          </w:tcPr>
          <w:p w14:paraId="1C64E43B">
            <w:pPr>
              <w:spacing w:line="276" w:lineRule="auto"/>
              <w:jc w:val="center"/>
              <w:rPr>
                <w:rFonts w:ascii="Arial" w:hAnsi="Arial" w:cs="Arial"/>
                <w:color w:val="000000"/>
                <w:sz w:val="18"/>
                <w:szCs w:val="18"/>
              </w:rPr>
            </w:pPr>
          </w:p>
        </w:tc>
        <w:tc>
          <w:tcPr>
            <w:tcW w:w="778" w:type="pct"/>
            <w:tcBorders>
              <w:top w:val="nil"/>
              <w:left w:val="nil"/>
              <w:bottom w:val="single" w:color="auto" w:sz="4" w:space="0"/>
              <w:right w:val="nil"/>
            </w:tcBorders>
            <w:shd w:val="clear" w:color="auto" w:fill="auto"/>
            <w:noWrap/>
            <w:vAlign w:val="center"/>
          </w:tcPr>
          <w:p w14:paraId="3353C388">
            <w:pPr>
              <w:spacing w:line="276" w:lineRule="auto"/>
              <w:jc w:val="right"/>
              <w:rPr>
                <w:rFonts w:ascii="Arial" w:hAnsi="Arial" w:cs="Arial"/>
                <w:color w:val="000000"/>
                <w:sz w:val="18"/>
                <w:szCs w:val="18"/>
              </w:rPr>
            </w:pPr>
            <w:r>
              <w:rPr>
                <w:rFonts w:hint="default" w:ascii="Arial" w:hAnsi="Arial" w:cs="Arial"/>
                <w:color w:val="000000"/>
                <w:sz w:val="18"/>
                <w:szCs w:val="18"/>
                <w:lang w:val="hr-HR"/>
              </w:rPr>
              <w:t>31</w:t>
            </w:r>
            <w:r>
              <w:rPr>
                <w:rFonts w:ascii="Arial" w:hAnsi="Arial" w:cs="Arial"/>
                <w:color w:val="000000"/>
                <w:sz w:val="18"/>
                <w:szCs w:val="18"/>
              </w:rPr>
              <w:t>.</w:t>
            </w:r>
            <w:r>
              <w:rPr>
                <w:rFonts w:hint="default" w:ascii="Arial" w:hAnsi="Arial" w:cs="Arial"/>
                <w:color w:val="000000"/>
                <w:sz w:val="18"/>
                <w:szCs w:val="18"/>
                <w:lang w:val="hr-HR"/>
              </w:rPr>
              <w:t>783,42</w:t>
            </w:r>
            <w:r>
              <w:rPr>
                <w:rFonts w:ascii="Arial" w:hAnsi="Arial" w:cs="Arial"/>
                <w:color w:val="000000"/>
                <w:sz w:val="18"/>
                <w:szCs w:val="18"/>
              </w:rPr>
              <w:t xml:space="preserve"> eur</w:t>
            </w:r>
          </w:p>
        </w:tc>
      </w:tr>
    </w:tbl>
    <w:p w14:paraId="076FA8B4">
      <w:pPr>
        <w:spacing w:line="276" w:lineRule="auto"/>
        <w:jc w:val="both"/>
        <w:rPr>
          <w:rFonts w:ascii="Arial" w:hAnsi="Arial" w:cs="Arial"/>
          <w:i/>
        </w:rPr>
      </w:pPr>
    </w:p>
    <w:p w14:paraId="57C2D9CB">
      <w:pPr>
        <w:pStyle w:val="6"/>
        <w:numPr>
          <w:ilvl w:val="0"/>
          <w:numId w:val="2"/>
        </w:numPr>
        <w:spacing w:after="0" w:line="276" w:lineRule="auto"/>
        <w:jc w:val="both"/>
        <w:rPr>
          <w:rFonts w:ascii="Arial" w:hAnsi="Arial" w:cs="Arial"/>
          <w:b/>
          <w:bCs/>
        </w:rPr>
      </w:pPr>
      <w:r>
        <w:rPr>
          <w:rFonts w:ascii="Arial" w:hAnsi="Arial" w:cs="Arial"/>
          <w:b/>
          <w:bCs/>
        </w:rPr>
        <w:t>PROGRAM 2301 i 2302: PROGRAMI OBRAZOVANJA – IZNAD STANDARDA</w:t>
      </w:r>
    </w:p>
    <w:p w14:paraId="59AD15AF">
      <w:pPr>
        <w:spacing w:line="276" w:lineRule="auto"/>
        <w:jc w:val="both"/>
        <w:rPr>
          <w:rFonts w:ascii="Arial" w:hAnsi="Arial" w:cs="Arial"/>
          <w:b/>
          <w:bCs/>
        </w:rPr>
      </w:pPr>
    </w:p>
    <w:p w14:paraId="0FB8370D">
      <w:pPr>
        <w:pStyle w:val="6"/>
        <w:numPr>
          <w:ilvl w:val="1"/>
          <w:numId w:val="2"/>
        </w:numPr>
        <w:spacing w:after="0" w:line="276" w:lineRule="auto"/>
        <w:jc w:val="both"/>
        <w:rPr>
          <w:rFonts w:ascii="Arial" w:hAnsi="Arial" w:cs="Arial"/>
          <w:bCs/>
        </w:rPr>
      </w:pPr>
      <w:r>
        <w:rPr>
          <w:rFonts w:hint="default" w:ascii="Arial" w:hAnsi="Arial" w:cs="Arial"/>
          <w:bCs/>
          <w:lang w:val="hr-HR"/>
        </w:rPr>
        <w:t>AKTVNOST A230102: ŽUPANIJSKA NATJECANJA</w:t>
      </w:r>
    </w:p>
    <w:p w14:paraId="70020771">
      <w:pPr>
        <w:pStyle w:val="6"/>
        <w:spacing w:line="276" w:lineRule="auto"/>
        <w:jc w:val="both"/>
        <w:rPr>
          <w:rFonts w:ascii="Arial" w:hAnsi="Arial" w:cs="Arial"/>
          <w:bCs/>
          <w:sz w:val="22"/>
          <w:szCs w:val="22"/>
        </w:rPr>
      </w:pPr>
      <w:r>
        <w:rPr>
          <w:rFonts w:ascii="Arial" w:hAnsi="Arial" w:cs="Arial"/>
          <w:bCs/>
          <w:sz w:val="22"/>
          <w:szCs w:val="22"/>
          <w:lang w:val="hr-HR"/>
        </w:rPr>
        <w:t>Ž</w:t>
      </w:r>
      <w:r>
        <w:rPr>
          <w:rFonts w:ascii="Arial" w:hAnsi="Arial" w:cs="Arial"/>
          <w:bCs/>
          <w:sz w:val="22"/>
          <w:szCs w:val="22"/>
        </w:rPr>
        <w:t>upanijska natjecanja odnose se na financiranje prijevoza učenika na natjecanjima znanja i sportskim natjecanjima na županijskoj razini. Troškovi se financiraju sredstvima Istarske županije.</w:t>
      </w:r>
    </w:p>
    <w:p w14:paraId="0B391ECF">
      <w:pPr>
        <w:pStyle w:val="6"/>
        <w:spacing w:line="276" w:lineRule="auto"/>
        <w:jc w:val="both"/>
        <w:rPr>
          <w:rFonts w:ascii="Arial" w:hAnsi="Arial" w:cs="Arial"/>
          <w:bCs/>
          <w:sz w:val="22"/>
          <w:szCs w:val="22"/>
        </w:rPr>
      </w:pPr>
    </w:p>
    <w:p w14:paraId="4E9345B3">
      <w:pPr>
        <w:pStyle w:val="6"/>
        <w:numPr>
          <w:ilvl w:val="1"/>
          <w:numId w:val="2"/>
        </w:numPr>
        <w:spacing w:after="0" w:line="276" w:lineRule="auto"/>
        <w:jc w:val="both"/>
        <w:rPr>
          <w:rFonts w:ascii="Arial" w:hAnsi="Arial" w:cs="Arial"/>
          <w:bCs/>
        </w:rPr>
      </w:pPr>
      <w:r>
        <w:rPr>
          <w:rFonts w:ascii="Arial" w:hAnsi="Arial" w:cs="Arial"/>
          <w:bCs/>
        </w:rPr>
        <w:t>AKTIVNOST A230106: ŠKOLSKA KUHINJA</w:t>
      </w:r>
    </w:p>
    <w:p w14:paraId="08E92EC3">
      <w:pPr>
        <w:spacing w:line="276" w:lineRule="auto"/>
        <w:ind w:left="708"/>
        <w:jc w:val="both"/>
        <w:rPr>
          <w:rFonts w:hint="default" w:ascii="Arial" w:hAnsi="Arial" w:cs="Arial"/>
          <w:bCs/>
          <w:lang w:val="hr-HR"/>
        </w:rPr>
      </w:pPr>
      <w:r>
        <w:rPr>
          <w:rFonts w:ascii="Arial" w:hAnsi="Arial" w:cs="Arial"/>
          <w:bCs/>
        </w:rPr>
        <w:t>Polaznici produženog boravka korist</w:t>
      </w:r>
      <w:r>
        <w:rPr>
          <w:rFonts w:hint="default" w:ascii="Arial" w:hAnsi="Arial" w:cs="Arial"/>
          <w:bCs/>
          <w:lang w:val="hr-HR"/>
        </w:rPr>
        <w:t>e</w:t>
      </w:r>
      <w:r>
        <w:rPr>
          <w:rFonts w:ascii="Arial" w:hAnsi="Arial" w:cs="Arial"/>
          <w:bCs/>
        </w:rPr>
        <w:t xml:space="preserve"> ručak koji financiraju roditelji-skrbnici u iznosu od </w:t>
      </w:r>
      <w:r>
        <w:rPr>
          <w:rFonts w:hint="default" w:ascii="Arial" w:hAnsi="Arial" w:cs="Arial"/>
          <w:bCs/>
          <w:lang w:val="hr-HR"/>
        </w:rPr>
        <w:t xml:space="preserve"> 1,80</w:t>
      </w:r>
      <w:r>
        <w:rPr>
          <w:rFonts w:ascii="Arial" w:hAnsi="Arial" w:cs="Arial"/>
          <w:bCs/>
        </w:rPr>
        <w:t xml:space="preserve"> eur</w:t>
      </w:r>
      <w:r>
        <w:rPr>
          <w:rFonts w:hint="default" w:ascii="Arial" w:hAnsi="Arial" w:cs="Arial"/>
          <w:bCs/>
          <w:lang w:val="hr-HR"/>
        </w:rPr>
        <w:t>a</w:t>
      </w:r>
      <w:r>
        <w:rPr>
          <w:rFonts w:ascii="Arial" w:hAnsi="Arial" w:cs="Arial"/>
          <w:bCs/>
        </w:rPr>
        <w:t xml:space="preserve"> po obroku</w:t>
      </w:r>
      <w:r>
        <w:rPr>
          <w:rFonts w:hint="default" w:ascii="Arial" w:hAnsi="Arial" w:cs="Arial"/>
          <w:bCs/>
          <w:lang w:val="hr-HR"/>
        </w:rPr>
        <w:t xml:space="preserve">.  Gotovo svi učenici korisnici su školske marende. </w:t>
      </w:r>
    </w:p>
    <w:p w14:paraId="22C2DBB7">
      <w:pPr>
        <w:spacing w:line="276" w:lineRule="auto"/>
        <w:ind w:left="708"/>
        <w:jc w:val="both"/>
        <w:rPr>
          <w:rFonts w:hint="default" w:ascii="Arial" w:hAnsi="Arial" w:cs="Arial"/>
          <w:bCs/>
          <w:lang w:val="hr-HR"/>
        </w:rPr>
      </w:pPr>
    </w:p>
    <w:p w14:paraId="1BBCD9B0">
      <w:pPr>
        <w:pStyle w:val="6"/>
        <w:numPr>
          <w:ilvl w:val="1"/>
          <w:numId w:val="2"/>
        </w:numPr>
        <w:spacing w:after="0" w:line="276" w:lineRule="auto"/>
        <w:jc w:val="both"/>
        <w:rPr>
          <w:rFonts w:ascii="Arial" w:hAnsi="Arial" w:cs="Arial"/>
          <w:bCs/>
        </w:rPr>
      </w:pPr>
      <w:r>
        <w:rPr>
          <w:rFonts w:hint="default" w:ascii="Arial" w:hAnsi="Arial" w:cs="Arial"/>
          <w:bCs/>
          <w:lang w:val="hr-HR"/>
        </w:rPr>
        <w:t>AKTIVNOST A230104: POMOĆNICI U NASTAVI</w:t>
      </w:r>
    </w:p>
    <w:p w14:paraId="0AD705E7">
      <w:pPr>
        <w:spacing w:line="276" w:lineRule="auto"/>
        <w:ind w:left="708"/>
        <w:jc w:val="both"/>
        <w:rPr>
          <w:rFonts w:ascii="Arial" w:hAnsi="Arial" w:cs="Arial"/>
        </w:rPr>
      </w:pPr>
      <w:r>
        <w:rPr>
          <w:rFonts w:hint="default" w:ascii="Arial" w:hAnsi="Arial" w:cs="Arial"/>
          <w:lang w:val="hr-HR"/>
        </w:rPr>
        <w:t>Aktivnost o</w:t>
      </w:r>
      <w:r>
        <w:rPr>
          <w:rFonts w:ascii="Arial" w:hAnsi="Arial" w:cs="Arial"/>
        </w:rPr>
        <w:t xml:space="preserve">buhvaća </w:t>
      </w:r>
      <w:r>
        <w:rPr>
          <w:rFonts w:ascii="Arial" w:hAnsi="Arial" w:cs="Arial"/>
          <w:iCs/>
        </w:rPr>
        <w:t>osiguravanje pomoćnika u nastavi i stručnih komunikacijskih posrednika učenicima s teškoćama u razvoju u osnovnoškolskim i srednjoškolskim odgojno-obrazovnim ustanovama</w:t>
      </w:r>
      <w:r>
        <w:rPr>
          <w:rFonts w:ascii="Arial" w:hAnsi="Arial" w:cs="Arial"/>
        </w:rPr>
        <w:t xml:space="preserve"> u kojima je osnivač Istarska župani</w:t>
      </w:r>
      <w:r>
        <w:rPr>
          <w:rFonts w:hint="default" w:ascii="Arial" w:hAnsi="Arial" w:cs="Arial"/>
          <w:lang w:val="hr-HR"/>
        </w:rPr>
        <w:t>ji, a koji nisu u projektu MOZAIK</w:t>
      </w:r>
      <w:r>
        <w:rPr>
          <w:rFonts w:ascii="Arial" w:hAnsi="Arial" w:cs="Arial"/>
        </w:rPr>
        <w:t>. Osiguranje pomoćnika učenicima s teškoćama u razvoju poboljšava njihov odgojno-obrazovni uspjeh, potiče uspješniju socijalizaciju i emocionalno funkcioniranje te donosi napredak u razvoju vještina i sposobnosti u školskoj sredini.</w:t>
      </w:r>
    </w:p>
    <w:p w14:paraId="48B1DC33">
      <w:pPr>
        <w:pStyle w:val="6"/>
        <w:numPr>
          <w:ilvl w:val="0"/>
          <w:numId w:val="0"/>
        </w:numPr>
        <w:spacing w:after="0" w:line="276" w:lineRule="auto"/>
        <w:ind w:leftChars="0"/>
        <w:jc w:val="both"/>
        <w:rPr>
          <w:rFonts w:hint="default" w:ascii="Arial" w:hAnsi="Arial" w:cs="Arial"/>
          <w:bCs/>
          <w:lang w:val="hr-HR"/>
        </w:rPr>
      </w:pPr>
    </w:p>
    <w:p w14:paraId="43963AB5">
      <w:pPr>
        <w:pStyle w:val="6"/>
        <w:numPr>
          <w:ilvl w:val="1"/>
          <w:numId w:val="2"/>
        </w:numPr>
        <w:spacing w:after="0" w:line="276" w:lineRule="auto"/>
        <w:jc w:val="both"/>
        <w:rPr>
          <w:rFonts w:ascii="Arial" w:hAnsi="Arial" w:cs="Arial"/>
          <w:bCs/>
        </w:rPr>
      </w:pPr>
      <w:r>
        <w:rPr>
          <w:rFonts w:ascii="Arial" w:hAnsi="Arial" w:cs="Arial"/>
          <w:bCs/>
        </w:rPr>
        <w:t xml:space="preserve">AKTIVNOST </w:t>
      </w:r>
      <w:r>
        <w:rPr>
          <w:rFonts w:hint="default" w:ascii="Arial" w:hAnsi="Arial" w:cs="Arial"/>
          <w:bCs/>
          <w:lang w:val="hr-HR"/>
        </w:rPr>
        <w:t>A</w:t>
      </w:r>
      <w:r>
        <w:rPr>
          <w:rFonts w:ascii="Arial" w:hAnsi="Arial" w:cs="Arial"/>
          <w:bCs/>
        </w:rPr>
        <w:t>230107: PRODUŽENI BORAVAK</w:t>
      </w:r>
    </w:p>
    <w:p w14:paraId="03249F1A">
      <w:pPr>
        <w:pStyle w:val="6"/>
        <w:spacing w:line="276" w:lineRule="auto"/>
        <w:jc w:val="both"/>
        <w:rPr>
          <w:rFonts w:ascii="Arial" w:hAnsi="Arial" w:cs="Arial"/>
          <w:bCs/>
        </w:rPr>
      </w:pPr>
      <w:r>
        <w:rPr>
          <w:rFonts w:ascii="Arial" w:hAnsi="Arial" w:cs="Arial"/>
          <w:bCs/>
        </w:rPr>
        <w:t xml:space="preserve">Produženi boravak neobvezan je oblik odgojno-obrazovnog rada namijenjen učenicima razredne nastave koji se provodi izvan redovite nastave i ima svoje pedagoške, odgojne, zdravstvene i socijalne vrijednosti. Program produženog boravka provodi se dugi niz godina. U novoj školskoj godini organizirane su </w:t>
      </w:r>
      <w:r>
        <w:rPr>
          <w:rFonts w:hint="default" w:ascii="Arial" w:hAnsi="Arial" w:cs="Arial"/>
          <w:bCs/>
          <w:lang w:val="hr-HR"/>
        </w:rPr>
        <w:t>2</w:t>
      </w:r>
      <w:r>
        <w:rPr>
          <w:rFonts w:ascii="Arial" w:hAnsi="Arial" w:cs="Arial"/>
          <w:bCs/>
        </w:rPr>
        <w:t xml:space="preserve"> heterogene grupe učenika u produženom boravku</w:t>
      </w:r>
      <w:r>
        <w:rPr>
          <w:rFonts w:hint="default" w:ascii="Arial" w:hAnsi="Arial" w:cs="Arial"/>
          <w:bCs/>
          <w:lang w:val="hr-HR"/>
        </w:rPr>
        <w:t>.</w:t>
      </w:r>
    </w:p>
    <w:p w14:paraId="027B3A4F">
      <w:pPr>
        <w:pStyle w:val="6"/>
        <w:spacing w:line="276" w:lineRule="auto"/>
        <w:jc w:val="both"/>
        <w:rPr>
          <w:rFonts w:ascii="Arial" w:hAnsi="Arial" w:cs="Arial"/>
          <w:bCs/>
        </w:rPr>
      </w:pPr>
      <w:r>
        <w:rPr>
          <w:rFonts w:ascii="Arial" w:hAnsi="Arial" w:cs="Arial"/>
          <w:bCs/>
        </w:rPr>
        <w:t xml:space="preserve">Učenici su u rad produženog boravka uključeni na bazi ugovora koji roditelji-skrbnici sklapaju početkom nastavne godine na vrijeme od 10 mjeseci po cijeni </w:t>
      </w:r>
      <w:r>
        <w:rPr>
          <w:rFonts w:hint="default" w:ascii="Arial" w:hAnsi="Arial" w:cs="Arial"/>
          <w:bCs/>
          <w:lang w:val="hr-HR"/>
        </w:rPr>
        <w:t>27,00 odnosno 35,00</w:t>
      </w:r>
      <w:r>
        <w:rPr>
          <w:rFonts w:ascii="Arial" w:hAnsi="Arial" w:cs="Arial"/>
          <w:bCs/>
        </w:rPr>
        <w:t xml:space="preserve">eur mjesečno čime se sufinanciraju plaće učitelja u produženom boravku. Trenutno uslugu produženog boravka koristi </w:t>
      </w:r>
      <w:r>
        <w:rPr>
          <w:rFonts w:hint="default" w:ascii="Arial" w:hAnsi="Arial" w:cs="Arial"/>
          <w:bCs/>
          <w:lang w:val="hr-HR"/>
        </w:rPr>
        <w:t>36</w:t>
      </w:r>
      <w:r>
        <w:rPr>
          <w:rFonts w:ascii="Arial" w:hAnsi="Arial" w:cs="Arial"/>
          <w:bCs/>
        </w:rPr>
        <w:t xml:space="preserve"> učenika.</w:t>
      </w:r>
    </w:p>
    <w:p w14:paraId="03EB3891">
      <w:pPr>
        <w:pStyle w:val="6"/>
        <w:spacing w:line="276" w:lineRule="auto"/>
        <w:jc w:val="both"/>
        <w:rPr>
          <w:rFonts w:ascii="Arial" w:hAnsi="Arial" w:cs="Arial"/>
          <w:bCs/>
        </w:rPr>
      </w:pPr>
      <w:r>
        <w:rPr>
          <w:rFonts w:ascii="Arial" w:hAnsi="Arial" w:cs="Arial"/>
          <w:bCs/>
        </w:rPr>
        <w:t xml:space="preserve">Ostatak troškova plaća učitelja u produženom boravku financiraju Iž i </w:t>
      </w:r>
      <w:r>
        <w:rPr>
          <w:rFonts w:hint="default" w:ascii="Arial" w:hAnsi="Arial" w:cs="Arial"/>
          <w:bCs/>
          <w:lang w:val="hr-HR"/>
        </w:rPr>
        <w:t>Općina Barban</w:t>
      </w:r>
      <w:r>
        <w:rPr>
          <w:rFonts w:ascii="Arial" w:hAnsi="Arial" w:cs="Arial"/>
          <w:bCs/>
        </w:rPr>
        <w:t xml:space="preserve"> u omjeru 50%:50%.</w:t>
      </w:r>
    </w:p>
    <w:p w14:paraId="2C14E252">
      <w:pPr>
        <w:pStyle w:val="6"/>
        <w:spacing w:line="276" w:lineRule="auto"/>
        <w:jc w:val="both"/>
        <w:rPr>
          <w:rFonts w:ascii="Arial" w:hAnsi="Arial" w:cs="Arial"/>
          <w:bCs/>
        </w:rPr>
      </w:pPr>
    </w:p>
    <w:p w14:paraId="7EEDC3C6">
      <w:pPr>
        <w:pStyle w:val="6"/>
        <w:numPr>
          <w:ilvl w:val="1"/>
          <w:numId w:val="2"/>
        </w:numPr>
        <w:spacing w:after="0" w:line="276" w:lineRule="auto"/>
        <w:jc w:val="both"/>
        <w:rPr>
          <w:rFonts w:ascii="Arial" w:hAnsi="Arial" w:cs="Arial"/>
          <w:bCs/>
        </w:rPr>
      </w:pPr>
      <w:r>
        <w:rPr>
          <w:rFonts w:hint="default" w:ascii="Arial" w:hAnsi="Arial" w:cs="Arial"/>
          <w:bCs/>
          <w:lang w:val="hr-HR"/>
        </w:rPr>
        <w:t>AKTIVNOST  230112: ROBOTIKA</w:t>
      </w:r>
    </w:p>
    <w:p w14:paraId="67B291CA">
      <w:pPr>
        <w:pStyle w:val="6"/>
        <w:spacing w:line="276" w:lineRule="auto"/>
        <w:jc w:val="both"/>
        <w:rPr>
          <w:rFonts w:hint="default" w:ascii="Arial" w:hAnsi="Arial" w:cs="Arial"/>
          <w:bCs/>
          <w:lang w:val="hr-HR"/>
        </w:rPr>
      </w:pPr>
      <w:r>
        <w:rPr>
          <w:rFonts w:ascii="Arial" w:hAnsi="Arial" w:cs="Arial"/>
          <w:bCs/>
          <w:sz w:val="22"/>
          <w:szCs w:val="22"/>
        </w:rPr>
        <w:t>Robotika je namjenski prihod koji financira Općina Barban, a odnosi se na natjecanje učenika u robotici kao prateća manifestacija poznate Trke na prstenac.</w:t>
      </w:r>
    </w:p>
    <w:p w14:paraId="47EDB9B0">
      <w:pPr>
        <w:pStyle w:val="6"/>
        <w:numPr>
          <w:ilvl w:val="0"/>
          <w:numId w:val="0"/>
        </w:numPr>
        <w:spacing w:after="0" w:line="276" w:lineRule="auto"/>
        <w:ind w:leftChars="0"/>
        <w:jc w:val="both"/>
        <w:rPr>
          <w:rFonts w:hint="default" w:ascii="Arial" w:hAnsi="Arial" w:cs="Arial"/>
          <w:bCs/>
          <w:lang w:val="hr-HR"/>
        </w:rPr>
      </w:pPr>
      <w:r>
        <w:rPr>
          <w:rFonts w:hint="default" w:ascii="Arial" w:hAnsi="Arial" w:cs="Arial"/>
          <w:bCs/>
          <w:lang w:val="hr-HR"/>
        </w:rPr>
        <w:tab/>
      </w:r>
    </w:p>
    <w:p w14:paraId="4645E538">
      <w:pPr>
        <w:pStyle w:val="6"/>
        <w:numPr>
          <w:ilvl w:val="1"/>
          <w:numId w:val="2"/>
        </w:numPr>
        <w:spacing w:after="0" w:line="276" w:lineRule="auto"/>
        <w:jc w:val="both"/>
        <w:rPr>
          <w:rFonts w:ascii="Arial" w:hAnsi="Arial" w:cs="Arial"/>
          <w:bCs/>
        </w:rPr>
      </w:pPr>
      <w:r>
        <w:rPr>
          <w:rFonts w:hint="default" w:ascii="Arial" w:hAnsi="Arial" w:cs="Arial"/>
          <w:bCs/>
          <w:lang w:val="hr-HR"/>
        </w:rPr>
        <w:t>AKTIVNOST A230115 OSTALI PROGRAMI</w:t>
      </w:r>
    </w:p>
    <w:p w14:paraId="3E766909">
      <w:pPr>
        <w:pStyle w:val="6"/>
        <w:numPr>
          <w:ilvl w:val="0"/>
          <w:numId w:val="0"/>
        </w:numPr>
        <w:spacing w:after="0" w:line="276" w:lineRule="auto"/>
        <w:ind w:leftChars="0"/>
        <w:jc w:val="both"/>
        <w:rPr>
          <w:rFonts w:hint="default" w:ascii="Arial" w:hAnsi="Arial" w:cs="Arial"/>
          <w:bCs/>
          <w:i/>
          <w:iCs/>
          <w:lang w:val="hr-HR"/>
        </w:rPr>
      </w:pPr>
      <w:r>
        <w:rPr>
          <w:rFonts w:hint="default" w:ascii="Arial" w:hAnsi="Arial" w:cs="Arial"/>
          <w:bCs/>
          <w:lang w:val="hr-HR"/>
        </w:rPr>
        <w:tab/>
      </w:r>
      <w:r>
        <w:rPr>
          <w:rFonts w:hint="default" w:ascii="Arial" w:hAnsi="Arial" w:cs="Arial"/>
          <w:bCs/>
          <w:lang w:val="hr-HR"/>
        </w:rPr>
        <w:t xml:space="preserve">Nadležno ministarstvo za obrazovanje financiralo je projekt </w:t>
      </w:r>
      <w:r>
        <w:rPr>
          <w:rFonts w:hint="default" w:ascii="Arial" w:hAnsi="Arial" w:cs="Arial"/>
          <w:bCs/>
          <w:i/>
          <w:iCs/>
          <w:lang w:val="hr-HR"/>
        </w:rPr>
        <w:t xml:space="preserve">Kroz književni svijet u </w:t>
      </w:r>
      <w:r>
        <w:rPr>
          <w:rFonts w:hint="default" w:ascii="Arial" w:hAnsi="Arial" w:cs="Arial"/>
          <w:bCs/>
          <w:i/>
          <w:iCs/>
          <w:lang w:val="hr-HR"/>
        </w:rPr>
        <w:tab/>
      </w:r>
      <w:r>
        <w:rPr>
          <w:rFonts w:hint="default" w:ascii="Arial" w:hAnsi="Arial" w:cs="Arial"/>
          <w:bCs/>
          <w:i/>
          <w:iCs/>
          <w:lang w:val="hr-HR"/>
        </w:rPr>
        <w:t>sigurniji internet.</w:t>
      </w:r>
    </w:p>
    <w:p w14:paraId="372C7294">
      <w:pPr>
        <w:pStyle w:val="6"/>
        <w:numPr>
          <w:ilvl w:val="0"/>
          <w:numId w:val="0"/>
        </w:numPr>
        <w:spacing w:after="0" w:line="276" w:lineRule="auto"/>
        <w:ind w:leftChars="0"/>
        <w:jc w:val="both"/>
        <w:rPr>
          <w:rFonts w:hint="default" w:ascii="Arial" w:hAnsi="Arial" w:cs="Arial"/>
          <w:bCs/>
          <w:i/>
          <w:iCs/>
          <w:lang w:val="hr-HR"/>
        </w:rPr>
      </w:pPr>
    </w:p>
    <w:p w14:paraId="2A16E31E">
      <w:pPr>
        <w:pStyle w:val="6"/>
        <w:numPr>
          <w:ilvl w:val="1"/>
          <w:numId w:val="2"/>
        </w:numPr>
        <w:spacing w:after="0" w:line="276" w:lineRule="auto"/>
        <w:jc w:val="both"/>
        <w:rPr>
          <w:rFonts w:ascii="Arial" w:hAnsi="Arial" w:cs="Arial"/>
          <w:bCs/>
        </w:rPr>
      </w:pPr>
      <w:r>
        <w:rPr>
          <w:rFonts w:ascii="Arial" w:hAnsi="Arial" w:cs="Arial"/>
          <w:bCs/>
        </w:rPr>
        <w:t xml:space="preserve">AKTIVNOST 230116: </w:t>
      </w:r>
      <w:r>
        <w:rPr>
          <w:rFonts w:ascii="Arial" w:hAnsi="Arial" w:cs="Arial"/>
          <w:bCs/>
          <w:lang w:val="hr-HR"/>
        </w:rPr>
        <w:t>Š</w:t>
      </w:r>
      <w:r>
        <w:rPr>
          <w:rFonts w:ascii="Arial" w:hAnsi="Arial" w:cs="Arial"/>
          <w:bCs/>
        </w:rPr>
        <w:t>KOLSKI LIST, ČASOPISI I KNJIGE</w:t>
      </w:r>
    </w:p>
    <w:p w14:paraId="3F60CCC0">
      <w:pPr>
        <w:spacing w:line="276" w:lineRule="auto"/>
        <w:ind w:left="708"/>
        <w:jc w:val="both"/>
        <w:rPr>
          <w:rFonts w:ascii="Arial" w:hAnsi="Arial" w:cs="Arial"/>
          <w:bCs/>
        </w:rPr>
      </w:pPr>
      <w:r>
        <w:rPr>
          <w:rFonts w:ascii="Arial" w:hAnsi="Arial" w:cs="Arial"/>
          <w:bCs/>
        </w:rPr>
        <w:t xml:space="preserve">Nadležno ministarstvo za obrazovanje financira nabavu udžbenika za sve učenike osnovne škole. </w:t>
      </w:r>
    </w:p>
    <w:p w14:paraId="55738FD3">
      <w:pPr>
        <w:pStyle w:val="6"/>
        <w:numPr>
          <w:ilvl w:val="1"/>
          <w:numId w:val="2"/>
        </w:numPr>
        <w:spacing w:after="0" w:line="276" w:lineRule="auto"/>
        <w:jc w:val="both"/>
        <w:rPr>
          <w:rFonts w:hint="default" w:ascii="Arial" w:hAnsi="Arial" w:cs="Arial"/>
          <w:bCs/>
          <w:lang w:val="en-US"/>
        </w:rPr>
      </w:pPr>
      <w:r>
        <w:rPr>
          <w:rFonts w:ascii="Arial" w:hAnsi="Arial" w:cs="Arial"/>
          <w:bCs/>
        </w:rPr>
        <w:t>AKTIVNOST 2301</w:t>
      </w:r>
      <w:r>
        <w:rPr>
          <w:rFonts w:hint="default" w:ascii="Arial" w:hAnsi="Arial" w:cs="Arial"/>
          <w:bCs/>
          <w:lang w:val="hr-HR"/>
        </w:rPr>
        <w:t>19</w:t>
      </w:r>
      <w:r>
        <w:rPr>
          <w:rFonts w:ascii="Arial" w:hAnsi="Arial" w:cs="Arial"/>
          <w:bCs/>
        </w:rPr>
        <w:t>:</w:t>
      </w:r>
      <w:r>
        <w:rPr>
          <w:rFonts w:hint="default" w:ascii="Arial" w:hAnsi="Arial" w:cs="Arial"/>
          <w:bCs/>
          <w:lang w:val="hr-HR"/>
        </w:rPr>
        <w:t>NAGRADE ZA UČENIKE</w:t>
      </w:r>
    </w:p>
    <w:p w14:paraId="7A137F48">
      <w:pPr>
        <w:pStyle w:val="6"/>
        <w:spacing w:line="276" w:lineRule="auto"/>
        <w:jc w:val="both"/>
        <w:rPr>
          <w:rFonts w:ascii="Arial" w:hAnsi="Arial" w:cs="Arial"/>
          <w:bCs/>
          <w:sz w:val="22"/>
          <w:szCs w:val="22"/>
        </w:rPr>
      </w:pPr>
      <w:r>
        <w:rPr>
          <w:rFonts w:ascii="Arial" w:hAnsi="Arial" w:cs="Arial"/>
          <w:bCs/>
          <w:sz w:val="22"/>
          <w:szCs w:val="22"/>
        </w:rPr>
        <w:t>Nagrade učenika su namjenski prihodi Općine Barban namijenjen učenicima koji su postigli najbolji uspjeh tijekom osmogodišnjeg školovanja.</w:t>
      </w:r>
    </w:p>
    <w:p w14:paraId="2E2FE72B">
      <w:pPr>
        <w:pStyle w:val="6"/>
        <w:spacing w:line="276" w:lineRule="auto"/>
        <w:jc w:val="both"/>
        <w:rPr>
          <w:rFonts w:ascii="Arial" w:hAnsi="Arial" w:cs="Arial"/>
          <w:bCs/>
          <w:sz w:val="22"/>
          <w:szCs w:val="22"/>
        </w:rPr>
      </w:pPr>
    </w:p>
    <w:p w14:paraId="4591ACC2">
      <w:pPr>
        <w:pStyle w:val="6"/>
        <w:numPr>
          <w:ilvl w:val="1"/>
          <w:numId w:val="2"/>
        </w:numPr>
        <w:spacing w:after="0" w:line="276" w:lineRule="auto"/>
        <w:jc w:val="both"/>
        <w:rPr>
          <w:rFonts w:ascii="Arial" w:hAnsi="Arial" w:cs="Arial"/>
          <w:bCs/>
        </w:rPr>
      </w:pPr>
      <w:r>
        <w:rPr>
          <w:rFonts w:hint="default" w:ascii="Arial" w:hAnsi="Arial" w:cs="Arial"/>
          <w:bCs/>
          <w:lang w:val="hr-HR"/>
        </w:rPr>
        <w:t>AKTIVNOST A230163: IZLETI I TERENSKA NASTAVA</w:t>
      </w:r>
    </w:p>
    <w:p w14:paraId="58BD8EFC">
      <w:pPr>
        <w:pStyle w:val="6"/>
        <w:spacing w:line="276" w:lineRule="auto"/>
        <w:jc w:val="both"/>
        <w:rPr>
          <w:rFonts w:hint="default" w:ascii="Arial" w:hAnsi="Arial" w:cs="Arial"/>
          <w:bCs/>
          <w:sz w:val="22"/>
          <w:szCs w:val="22"/>
          <w:lang w:val="hr-HR"/>
        </w:rPr>
      </w:pPr>
      <w:r>
        <w:rPr>
          <w:rFonts w:ascii="Arial" w:hAnsi="Arial" w:cs="Arial"/>
          <w:bCs/>
          <w:sz w:val="22"/>
          <w:szCs w:val="22"/>
        </w:rPr>
        <w:t>Izleti i terenska nastava odnose se na financiranje troškova izleta i terenske nastave od strane roditelja</w:t>
      </w:r>
      <w:r>
        <w:rPr>
          <w:rFonts w:hint="default" w:ascii="Arial" w:hAnsi="Arial" w:cs="Arial"/>
          <w:bCs/>
          <w:sz w:val="22"/>
          <w:szCs w:val="22"/>
          <w:lang w:val="hr-HR"/>
        </w:rPr>
        <w:t>; Općine Barban za učenike bez jednog roditelja ili od nadležnog Ministarstva za učenike pripadnike nacionalnih manjina.</w:t>
      </w:r>
    </w:p>
    <w:p w14:paraId="405655E3">
      <w:pPr>
        <w:pStyle w:val="6"/>
        <w:numPr>
          <w:ilvl w:val="0"/>
          <w:numId w:val="0"/>
        </w:numPr>
        <w:spacing w:after="0" w:line="276" w:lineRule="auto"/>
        <w:ind w:leftChars="0"/>
        <w:jc w:val="both"/>
        <w:rPr>
          <w:rFonts w:hint="default" w:ascii="Arial" w:hAnsi="Arial" w:cs="Arial"/>
          <w:bCs/>
          <w:lang w:val="hr-HR"/>
        </w:rPr>
      </w:pPr>
    </w:p>
    <w:p w14:paraId="7877D671">
      <w:pPr>
        <w:pStyle w:val="6"/>
        <w:numPr>
          <w:ilvl w:val="1"/>
          <w:numId w:val="2"/>
        </w:numPr>
        <w:spacing w:after="0" w:line="276" w:lineRule="auto"/>
        <w:jc w:val="both"/>
        <w:rPr>
          <w:rFonts w:ascii="Arial" w:hAnsi="Arial" w:cs="Arial"/>
          <w:bCs/>
        </w:rPr>
      </w:pPr>
      <w:r>
        <w:rPr>
          <w:rFonts w:hint="default" w:ascii="Arial" w:hAnsi="Arial" w:cs="Arial"/>
          <w:bCs/>
          <w:lang w:val="hr-HR"/>
        </w:rPr>
        <w:t>AKTIVNOST A230170 UČENIČKA ZADRUGA</w:t>
      </w:r>
    </w:p>
    <w:p w14:paraId="6D1AA255">
      <w:pPr>
        <w:pStyle w:val="6"/>
        <w:spacing w:line="276" w:lineRule="auto"/>
        <w:jc w:val="both"/>
        <w:rPr>
          <w:rFonts w:hint="default" w:ascii="Arial" w:hAnsi="Arial" w:cs="Arial"/>
          <w:bCs/>
          <w:lang w:val="hr-HR"/>
        </w:rPr>
      </w:pPr>
      <w:r>
        <w:rPr>
          <w:rFonts w:hint="default" w:ascii="Arial" w:hAnsi="Arial" w:cs="Arial"/>
          <w:bCs/>
          <w:lang w:val="hr-HR"/>
        </w:rPr>
        <w:t>U</w:t>
      </w:r>
      <w:r>
        <w:rPr>
          <w:rFonts w:ascii="Arial" w:hAnsi="Arial" w:cs="Arial"/>
          <w:bCs/>
          <w:sz w:val="22"/>
          <w:szCs w:val="22"/>
        </w:rPr>
        <w:t>čenička zadruga obuhvaća prihode učeničke zadruge „Smokvenjak“. Učenici svojim radovima sudje</w:t>
      </w:r>
      <w:r>
        <w:rPr>
          <w:rFonts w:hint="default" w:ascii="Arial" w:hAnsi="Arial" w:cs="Arial"/>
          <w:bCs/>
          <w:sz w:val="22"/>
          <w:szCs w:val="22"/>
          <w:lang w:val="hr-HR"/>
        </w:rPr>
        <w:t xml:space="preserve">luju </w:t>
      </w:r>
      <w:r>
        <w:rPr>
          <w:rFonts w:ascii="Arial" w:hAnsi="Arial" w:cs="Arial"/>
          <w:bCs/>
          <w:sz w:val="22"/>
          <w:szCs w:val="22"/>
        </w:rPr>
        <w:t>na raznim eventima u lokalnoj zajednici.</w:t>
      </w:r>
    </w:p>
    <w:p w14:paraId="2BAFBC4E">
      <w:pPr>
        <w:pStyle w:val="6"/>
        <w:numPr>
          <w:ilvl w:val="0"/>
          <w:numId w:val="0"/>
        </w:numPr>
        <w:spacing w:after="0" w:line="276" w:lineRule="auto"/>
        <w:ind w:leftChars="0"/>
        <w:jc w:val="both"/>
        <w:rPr>
          <w:rFonts w:ascii="Arial" w:hAnsi="Arial" w:cs="Arial"/>
          <w:bCs/>
        </w:rPr>
      </w:pPr>
    </w:p>
    <w:p w14:paraId="45369B29">
      <w:pPr>
        <w:pStyle w:val="6"/>
        <w:numPr>
          <w:ilvl w:val="1"/>
          <w:numId w:val="2"/>
        </w:numPr>
        <w:spacing w:after="0" w:line="276" w:lineRule="auto"/>
        <w:jc w:val="both"/>
        <w:rPr>
          <w:rFonts w:ascii="Arial" w:hAnsi="Arial" w:cs="Arial"/>
          <w:bCs/>
        </w:rPr>
      </w:pPr>
      <w:r>
        <w:rPr>
          <w:rFonts w:ascii="Arial" w:hAnsi="Arial" w:cs="Arial"/>
          <w:bCs/>
        </w:rPr>
        <w:t xml:space="preserve">AKTIVNOST </w:t>
      </w:r>
      <w:r>
        <w:rPr>
          <w:rFonts w:hint="default" w:ascii="Arial" w:hAnsi="Arial" w:cs="Arial"/>
          <w:bCs/>
          <w:lang w:val="hr-HR"/>
        </w:rPr>
        <w:t>A</w:t>
      </w:r>
      <w:r>
        <w:rPr>
          <w:rFonts w:ascii="Arial" w:hAnsi="Arial" w:cs="Arial"/>
          <w:bCs/>
        </w:rPr>
        <w:t>230184: ZAVIČAJNA NASTAVA</w:t>
      </w:r>
    </w:p>
    <w:p w14:paraId="522C2C2E">
      <w:pPr>
        <w:spacing w:line="276" w:lineRule="auto"/>
        <w:ind w:left="708"/>
        <w:jc w:val="both"/>
        <w:rPr>
          <w:rFonts w:ascii="Arial" w:hAnsi="Arial" w:cs="Arial"/>
        </w:rPr>
      </w:pPr>
      <w:r>
        <w:rPr>
          <w:rFonts w:ascii="Arial" w:hAnsi="Arial" w:cs="Arial"/>
        </w:rPr>
        <w:t>Ideja o Zavičajnoj nastavi na području Istarske županije</w:t>
      </w:r>
      <w:r>
        <w:rPr>
          <w:rFonts w:hint="default" w:ascii="Arial" w:hAnsi="Arial" w:cs="Arial"/>
          <w:lang w:val="hr-HR"/>
        </w:rPr>
        <w:t xml:space="preserve"> </w:t>
      </w:r>
      <w:r>
        <w:rPr>
          <w:rFonts w:ascii="Arial" w:hAnsi="Arial" w:cs="Arial"/>
        </w:rPr>
        <w:t>te njena implementacija u predškolske i školske ustanove inicirana je s ciljem očuvanja istarskih posebnosti, bogate multikulturalnosti, povijesti i tradicije. Voljeti svoj kraj uči se od malih nogu, što je i polazišna točka samog projekta koji djecu želi upoznati sa šarolikim multikulturnim istarskim identitetom, njenom tradicijom, običajima i poviješću. Sredstva za troškove provedbe projekta osigurava osnivač</w:t>
      </w:r>
      <w:r>
        <w:rPr>
          <w:rFonts w:hint="default" w:ascii="Arial" w:hAnsi="Arial" w:cs="Arial"/>
          <w:lang w:val="hr-HR"/>
        </w:rPr>
        <w:t>.</w:t>
      </w:r>
    </w:p>
    <w:p w14:paraId="508D89CB">
      <w:pPr>
        <w:pStyle w:val="6"/>
        <w:numPr>
          <w:ilvl w:val="1"/>
          <w:numId w:val="2"/>
        </w:numPr>
        <w:spacing w:after="0" w:line="276" w:lineRule="auto"/>
        <w:jc w:val="both"/>
        <w:rPr>
          <w:rFonts w:ascii="Arial" w:hAnsi="Arial" w:cs="Arial"/>
          <w:bCs/>
        </w:rPr>
      </w:pPr>
      <w:r>
        <w:rPr>
          <w:rFonts w:hint="default" w:ascii="Arial" w:hAnsi="Arial" w:cs="Arial"/>
          <w:bCs/>
          <w:lang w:val="hr-HR"/>
        </w:rPr>
        <w:t>AKTIVNOST A230199: ŠKOLSKA SHEMA</w:t>
      </w:r>
    </w:p>
    <w:p w14:paraId="7AACB313">
      <w:pPr>
        <w:pStyle w:val="6"/>
        <w:spacing w:line="276" w:lineRule="auto"/>
        <w:jc w:val="both"/>
        <w:rPr>
          <w:rFonts w:ascii="Arial" w:hAnsi="Arial" w:cs="Arial"/>
          <w:bCs/>
          <w:sz w:val="22"/>
          <w:szCs w:val="22"/>
        </w:rPr>
      </w:pPr>
      <w:r>
        <w:rPr>
          <w:rFonts w:ascii="Arial" w:hAnsi="Arial" w:cs="Arial"/>
          <w:bCs/>
          <w:sz w:val="22"/>
          <w:szCs w:val="22"/>
        </w:rPr>
        <w:t>Školska shema odnosi se na financiranje Agencije za plaćanja u poljoprivredi, ribarstvu i ruralnom razvoju svježeg voća, mlijeka i mliječnih proizvoda za svu djecu osnovne škole.</w:t>
      </w:r>
    </w:p>
    <w:p w14:paraId="6B55C313">
      <w:pPr>
        <w:pStyle w:val="6"/>
        <w:numPr>
          <w:ilvl w:val="0"/>
          <w:numId w:val="0"/>
        </w:numPr>
        <w:spacing w:after="0" w:line="276" w:lineRule="auto"/>
        <w:ind w:leftChars="0"/>
        <w:jc w:val="both"/>
        <w:rPr>
          <w:rFonts w:hint="default" w:ascii="Arial" w:hAnsi="Arial" w:cs="Arial"/>
          <w:bCs/>
          <w:lang w:val="hr-HR"/>
        </w:rPr>
      </w:pPr>
    </w:p>
    <w:p w14:paraId="162C8507">
      <w:pPr>
        <w:pStyle w:val="6"/>
        <w:numPr>
          <w:ilvl w:val="1"/>
          <w:numId w:val="2"/>
        </w:numPr>
        <w:spacing w:after="0" w:line="276" w:lineRule="auto"/>
        <w:jc w:val="both"/>
        <w:rPr>
          <w:rFonts w:ascii="Arial" w:hAnsi="Arial" w:cs="Arial"/>
          <w:bCs/>
        </w:rPr>
      </w:pPr>
      <w:r>
        <w:rPr>
          <w:rFonts w:ascii="Arial" w:hAnsi="Arial" w:cs="Arial"/>
          <w:bCs/>
        </w:rPr>
        <w:t>AKTIVNOST 230202: GRAĐANSKI ODGOJ</w:t>
      </w:r>
    </w:p>
    <w:p w14:paraId="149B1CDB">
      <w:pPr>
        <w:spacing w:line="276" w:lineRule="auto"/>
        <w:ind w:left="708"/>
        <w:jc w:val="both"/>
        <w:rPr>
          <w:rFonts w:ascii="Arial" w:hAnsi="Arial" w:cs="Arial"/>
          <w:bCs/>
        </w:rPr>
      </w:pPr>
      <w:r>
        <w:rPr>
          <w:rFonts w:ascii="Arial" w:hAnsi="Arial" w:cs="Arial"/>
          <w:bCs/>
        </w:rPr>
        <w:t>Građanski odgoj i obrazovanje (GOO), kao izvannastavna aktivnost za učenike viših razreda, područje je odgoja i obrazovanja kojim se kod učenika i učenica razvijaju znanja, sposobnosti i vještine demokratske vrijednosti i stavovi, važni za odgovorno i aktivno sudjelovanje u društvu. Učiteljice koje provode program prošle su cjelovitu edukaciju svih područja GOO-a. Uvođenje ovog programa pokrenula je Istarska županija u školskoj godini 2018/2019. u našoj i još deset škola kao eksperimentalni program u izvannastavnoj aktivnosti</w:t>
      </w:r>
      <w:r>
        <w:rPr>
          <w:rFonts w:hint="default" w:ascii="Arial" w:hAnsi="Arial" w:cs="Arial"/>
          <w:bCs/>
          <w:lang w:val="hr-HR"/>
        </w:rPr>
        <w:t xml:space="preserve"> dok ga sada</w:t>
      </w:r>
      <w:r>
        <w:rPr>
          <w:rFonts w:ascii="Arial" w:hAnsi="Arial" w:cs="Arial"/>
          <w:bCs/>
        </w:rPr>
        <w:t xml:space="preserve"> provodi većina škola.</w:t>
      </w:r>
    </w:p>
    <w:p w14:paraId="7ABA4EE3">
      <w:pPr>
        <w:pStyle w:val="6"/>
        <w:numPr>
          <w:ilvl w:val="1"/>
          <w:numId w:val="2"/>
        </w:numPr>
        <w:spacing w:after="0" w:line="276" w:lineRule="auto"/>
        <w:jc w:val="both"/>
        <w:rPr>
          <w:rFonts w:ascii="Arial" w:hAnsi="Arial" w:cs="Arial"/>
          <w:bCs/>
        </w:rPr>
      </w:pPr>
      <w:r>
        <w:rPr>
          <w:rFonts w:ascii="Arial" w:hAnsi="Arial" w:cs="Arial"/>
          <w:bCs/>
        </w:rPr>
        <w:t>AKTIVNOST 230203: MEDNI DAN</w:t>
      </w:r>
    </w:p>
    <w:p w14:paraId="710AC6C8">
      <w:pPr>
        <w:spacing w:line="276" w:lineRule="auto"/>
        <w:ind w:left="708"/>
        <w:jc w:val="both"/>
        <w:rPr>
          <w:rFonts w:ascii="Arial" w:hAnsi="Arial" w:cs="Arial"/>
          <w:bCs/>
        </w:rPr>
      </w:pPr>
      <w:r>
        <w:rPr>
          <w:rFonts w:ascii="Arial" w:hAnsi="Arial" w:cs="Arial"/>
          <w:bCs/>
        </w:rPr>
        <w:t>Program školskog mednog dana i promocije hrvatskih pčelara u organizaciji je Agencije za plaćanje u poljoprivredi, ribarstvu i ruralnom razvoju. Na dan Sv. Ambrozija, zaštitnika pčela i pčelara, nastavnici putem edukativne slikovnice i edukativne prezentacije prilagođene dobi djece prvog razr</w:t>
      </w:r>
      <w:r>
        <w:rPr>
          <w:rFonts w:hint="default" w:ascii="Arial" w:hAnsi="Arial" w:cs="Arial"/>
          <w:bCs/>
          <w:lang w:val="hr-HR"/>
        </w:rPr>
        <w:t>eda</w:t>
      </w:r>
      <w:r>
        <w:rPr>
          <w:rFonts w:ascii="Arial" w:hAnsi="Arial" w:cs="Arial"/>
          <w:bCs/>
        </w:rPr>
        <w:t>, održavaju radionice za djecu o važnosti i značaju pčelarstva.</w:t>
      </w:r>
    </w:p>
    <w:p w14:paraId="0AB60F2E">
      <w:pPr>
        <w:spacing w:line="276" w:lineRule="auto"/>
        <w:ind w:left="708"/>
        <w:jc w:val="both"/>
        <w:rPr>
          <w:rFonts w:ascii="Arial" w:hAnsi="Arial" w:cs="Arial"/>
          <w:bCs/>
        </w:rPr>
      </w:pPr>
    </w:p>
    <w:p w14:paraId="67D82425">
      <w:pPr>
        <w:pStyle w:val="6"/>
        <w:numPr>
          <w:ilvl w:val="1"/>
          <w:numId w:val="2"/>
        </w:numPr>
        <w:spacing w:after="0" w:line="276" w:lineRule="auto"/>
        <w:jc w:val="both"/>
        <w:rPr>
          <w:rFonts w:ascii="Arial" w:hAnsi="Arial" w:cs="Arial"/>
          <w:bCs/>
        </w:rPr>
      </w:pPr>
      <w:r>
        <w:rPr>
          <w:rFonts w:ascii="Arial" w:hAnsi="Arial" w:cs="Arial"/>
          <w:bCs/>
        </w:rPr>
        <w:t>AKTIVNOST 230208: PREHRANA ZA UČENIKE U OŠ</w:t>
      </w:r>
    </w:p>
    <w:p w14:paraId="390B786E">
      <w:pPr>
        <w:spacing w:line="276" w:lineRule="auto"/>
        <w:ind w:left="708"/>
        <w:jc w:val="both"/>
        <w:rPr>
          <w:rFonts w:ascii="Arial" w:hAnsi="Arial" w:cs="Arial"/>
          <w:bCs/>
        </w:rPr>
      </w:pPr>
      <w:r>
        <w:rPr>
          <w:rFonts w:ascii="Arial" w:hAnsi="Arial" w:cs="Arial"/>
          <w:bCs/>
        </w:rPr>
        <w:t xml:space="preserve">Radi se aktivnosti koja je započela u siječnju 2023. godine, a odnosi se na osiguravanje besplatne prehrane - marende za sve učenike OŠ. Sredstva se doznačuju iz državnog proračuna (MZO), do 1,33 eur po obroku/učeniku dnevno. Planirani su rashodi po realnoj procjeni ostvarenja istih koji služe za financiranje prehrane učenika dok borave u školi u skladu s propisanim normativima koje donosi ministarstvo nadležno za zdravstvo. Tjedni jelovnik objavljuje se na web stranici škole. U cilju očuvanja zdravlja učenika u školi se </w:t>
      </w:r>
      <w:r>
        <w:rPr>
          <w:rFonts w:hint="default" w:ascii="Arial" w:hAnsi="Arial" w:cs="Arial"/>
          <w:bCs/>
          <w:lang w:val="hr-HR"/>
        </w:rPr>
        <w:t>svakodnevno spremaju</w:t>
      </w:r>
      <w:r>
        <w:rPr>
          <w:rFonts w:ascii="Arial" w:hAnsi="Arial" w:cs="Arial"/>
          <w:bCs/>
        </w:rPr>
        <w:t xml:space="preserve"> kuhani obroci. Prehrana se poslužuje u blagovaonici</w:t>
      </w:r>
      <w:r>
        <w:rPr>
          <w:rFonts w:hint="default" w:ascii="Arial" w:hAnsi="Arial" w:cs="Arial"/>
          <w:bCs/>
          <w:lang w:val="hr-HR"/>
        </w:rPr>
        <w:t xml:space="preserve"> i holu</w:t>
      </w:r>
      <w:r>
        <w:rPr>
          <w:rFonts w:ascii="Arial" w:hAnsi="Arial" w:cs="Arial"/>
          <w:bCs/>
        </w:rPr>
        <w:t xml:space="preserve"> škole.</w:t>
      </w:r>
    </w:p>
    <w:p w14:paraId="420D75F7">
      <w:pPr>
        <w:spacing w:line="276" w:lineRule="auto"/>
        <w:ind w:left="708"/>
        <w:jc w:val="both"/>
        <w:rPr>
          <w:rFonts w:ascii="Arial" w:hAnsi="Arial" w:cs="Arial"/>
          <w:bCs/>
        </w:rPr>
      </w:pPr>
    </w:p>
    <w:p w14:paraId="2DE2F4F6">
      <w:pPr>
        <w:pStyle w:val="6"/>
        <w:numPr>
          <w:ilvl w:val="1"/>
          <w:numId w:val="2"/>
        </w:numPr>
        <w:spacing w:after="0" w:line="276" w:lineRule="auto"/>
        <w:jc w:val="both"/>
        <w:rPr>
          <w:rFonts w:ascii="Arial" w:hAnsi="Arial" w:cs="Arial"/>
          <w:bCs/>
        </w:rPr>
      </w:pPr>
      <w:r>
        <w:rPr>
          <w:rFonts w:ascii="Arial" w:hAnsi="Arial" w:cs="Arial"/>
          <w:bCs/>
        </w:rPr>
        <w:t>AKTIVNOST 230209: MENSTRUALNE I HIGIJENSKE POTREPŠTINE</w:t>
      </w:r>
    </w:p>
    <w:p w14:paraId="1F5CE99C">
      <w:pPr>
        <w:spacing w:line="276" w:lineRule="auto"/>
        <w:ind w:left="708"/>
        <w:jc w:val="both"/>
        <w:rPr>
          <w:rFonts w:ascii="Arial" w:hAnsi="Arial" w:cs="Arial"/>
          <w:bCs/>
        </w:rPr>
      </w:pPr>
      <w:r>
        <w:rPr>
          <w:rFonts w:ascii="Arial" w:hAnsi="Arial" w:cs="Arial"/>
          <w:bCs/>
        </w:rPr>
        <w:t xml:space="preserve">Za ovu aktivnost se isto sredstva osiguravaju iz državnog proračuna (nadležnost Ministarstva rada, mir. sustava, obitelji i socijalne politike). Doznačeno je </w:t>
      </w:r>
      <w:r>
        <w:rPr>
          <w:rFonts w:hint="default" w:ascii="Arial" w:hAnsi="Arial" w:cs="Arial"/>
          <w:bCs/>
          <w:lang w:val="hr-HR"/>
        </w:rPr>
        <w:t>324,45</w:t>
      </w:r>
      <w:r>
        <w:rPr>
          <w:rFonts w:ascii="Arial" w:hAnsi="Arial" w:cs="Arial"/>
          <w:bCs/>
        </w:rPr>
        <w:t xml:space="preserve"> eur</w:t>
      </w:r>
      <w:r>
        <w:rPr>
          <w:rFonts w:hint="default" w:ascii="Arial" w:hAnsi="Arial" w:cs="Arial"/>
          <w:bCs/>
          <w:lang w:val="hr-HR"/>
        </w:rPr>
        <w:t>a</w:t>
      </w:r>
      <w:r>
        <w:rPr>
          <w:rFonts w:ascii="Arial" w:hAnsi="Arial" w:cs="Arial"/>
          <w:bCs/>
        </w:rPr>
        <w:t>.</w:t>
      </w:r>
    </w:p>
    <w:p w14:paraId="36E22B96">
      <w:pPr>
        <w:spacing w:line="276" w:lineRule="auto"/>
        <w:jc w:val="both"/>
        <w:rPr>
          <w:rFonts w:ascii="Arial" w:hAnsi="Arial" w:cs="Arial"/>
          <w:b/>
          <w:bCs/>
        </w:rPr>
      </w:pPr>
    </w:p>
    <w:p w14:paraId="5C8376CF">
      <w:pPr>
        <w:spacing w:line="276" w:lineRule="auto"/>
        <w:jc w:val="both"/>
        <w:rPr>
          <w:rFonts w:ascii="Arial" w:hAnsi="Arial" w:cs="Arial"/>
        </w:rPr>
      </w:pPr>
      <w:r>
        <w:rPr>
          <w:rFonts w:ascii="Arial" w:hAnsi="Arial" w:cs="Arial"/>
        </w:rPr>
        <w:t>CILJ USPJEŠNOSTI (mjere iz Provedbenog programa IŽ 2022-2025)</w:t>
      </w:r>
    </w:p>
    <w:p w14:paraId="5BAD27E3">
      <w:pPr>
        <w:spacing w:line="276" w:lineRule="auto"/>
        <w:jc w:val="both"/>
        <w:rPr>
          <w:rFonts w:ascii="Arial" w:hAnsi="Arial" w:cs="Arial"/>
        </w:rPr>
      </w:pPr>
      <w:r>
        <w:rPr>
          <w:rFonts w:ascii="Arial" w:hAnsi="Arial" w:cs="Arial"/>
        </w:rPr>
        <w:t>2.1.2. Osiguranje i poboljšanje dostupnosti obrazovanja djeci i roditeljima/starateljima – za aktivnosti A230106, A230107,</w:t>
      </w:r>
      <w:r>
        <w:rPr>
          <w:rFonts w:hint="default" w:ascii="Arial" w:hAnsi="Arial" w:cs="Arial"/>
          <w:lang w:val="hr-HR"/>
        </w:rPr>
        <w:t xml:space="preserve"> A230112,</w:t>
      </w:r>
      <w:r>
        <w:rPr>
          <w:rFonts w:ascii="Arial" w:hAnsi="Arial" w:cs="Arial"/>
        </w:rPr>
        <w:t xml:space="preserve"> A230116,</w:t>
      </w:r>
      <w:r>
        <w:rPr>
          <w:rFonts w:hint="default" w:ascii="Arial" w:hAnsi="Arial" w:cs="Arial"/>
          <w:lang w:val="hr-HR"/>
        </w:rPr>
        <w:t xml:space="preserve"> A230119,</w:t>
      </w:r>
      <w:r>
        <w:rPr>
          <w:rFonts w:ascii="Arial" w:hAnsi="Arial" w:cs="Arial"/>
        </w:rPr>
        <w:t xml:space="preserve"> A230130, A230202, A230208, A230209</w:t>
      </w:r>
    </w:p>
    <w:p w14:paraId="77833BEA">
      <w:pPr>
        <w:spacing w:line="276" w:lineRule="auto"/>
        <w:jc w:val="both"/>
        <w:rPr>
          <w:rFonts w:ascii="Arial" w:hAnsi="Arial" w:cs="Arial"/>
        </w:rPr>
      </w:pPr>
      <w:r>
        <w:rPr>
          <w:rFonts w:ascii="Arial" w:hAnsi="Arial" w:cs="Arial"/>
        </w:rPr>
        <w:t>2.2.6. Unaprjeđenje programa prevencije i ranog otkrivanja bolesti – za aktivnost A230203 (Medni dan) i A230208 (Prehrana za učenike)</w:t>
      </w:r>
    </w:p>
    <w:p w14:paraId="1F8A54C8">
      <w:pPr>
        <w:spacing w:line="276" w:lineRule="auto"/>
        <w:jc w:val="both"/>
        <w:rPr>
          <w:rFonts w:ascii="Arial" w:hAnsi="Arial" w:cs="Arial"/>
        </w:rPr>
      </w:pPr>
      <w:r>
        <w:rPr>
          <w:rFonts w:ascii="Arial" w:hAnsi="Arial" w:cs="Arial"/>
        </w:rPr>
        <w:t>4.1.1. Razvoj zavičajnog identiteta – za aktivnost A230184 (Zavičajna nastava)</w:t>
      </w:r>
    </w:p>
    <w:p w14:paraId="2D2E9EF5">
      <w:pPr>
        <w:spacing w:line="276" w:lineRule="auto"/>
        <w:jc w:val="both"/>
        <w:rPr>
          <w:rFonts w:ascii="Arial" w:hAnsi="Arial" w:cs="Arial"/>
        </w:rPr>
      </w:pPr>
      <w:r>
        <w:rPr>
          <w:rFonts w:ascii="Arial" w:hAnsi="Arial" w:cs="Arial"/>
        </w:rPr>
        <w:t>Ciljevi su ostvareni.</w:t>
      </w:r>
    </w:p>
    <w:p w14:paraId="3CA92377">
      <w:pPr>
        <w:spacing w:line="276" w:lineRule="auto"/>
        <w:jc w:val="both"/>
        <w:rPr>
          <w:rFonts w:ascii="Arial" w:hAnsi="Arial" w:cs="Arial"/>
        </w:rPr>
      </w:pPr>
      <w:r>
        <w:rPr>
          <w:rFonts w:ascii="Arial" w:hAnsi="Arial" w:cs="Arial"/>
        </w:rPr>
        <w:t>POKAZATELJ USPJEŠNOSTI</w:t>
      </w:r>
    </w:p>
    <w:p w14:paraId="146115D9">
      <w:pPr>
        <w:spacing w:line="276" w:lineRule="auto"/>
        <w:jc w:val="both"/>
        <w:rPr>
          <w:rFonts w:ascii="Arial" w:hAnsi="Arial" w:cs="Arial"/>
        </w:rPr>
      </w:pPr>
      <w:r>
        <w:rPr>
          <w:rFonts w:ascii="Arial" w:hAnsi="Arial" w:cs="Arial"/>
        </w:rPr>
        <w:t>za mjeru 2.1.2.</w:t>
      </w:r>
    </w:p>
    <w:tbl>
      <w:tblPr>
        <w:tblStyle w:val="3"/>
        <w:tblW w:w="4322" w:type="pct"/>
        <w:tblInd w:w="0" w:type="dxa"/>
        <w:tblLayout w:type="autofit"/>
        <w:tblCellMar>
          <w:top w:w="0" w:type="dxa"/>
          <w:left w:w="108" w:type="dxa"/>
          <w:bottom w:w="0" w:type="dxa"/>
          <w:right w:w="108" w:type="dxa"/>
        </w:tblCellMar>
      </w:tblPr>
      <w:tblGrid>
        <w:gridCol w:w="3010"/>
        <w:gridCol w:w="1256"/>
        <w:gridCol w:w="1256"/>
        <w:gridCol w:w="1256"/>
        <w:gridCol w:w="1251"/>
      </w:tblGrid>
      <w:tr w14:paraId="20058E1C">
        <w:tblPrEx>
          <w:tblCellMar>
            <w:top w:w="0" w:type="dxa"/>
            <w:left w:w="108" w:type="dxa"/>
            <w:bottom w:w="0" w:type="dxa"/>
            <w:right w:w="108" w:type="dxa"/>
          </w:tblCellMar>
        </w:tblPrEx>
        <w:trPr>
          <w:trHeight w:val="340" w:hRule="atLeast"/>
        </w:trPr>
        <w:tc>
          <w:tcPr>
            <w:tcW w:w="1874" w:type="pct"/>
            <w:tcBorders>
              <w:top w:val="nil"/>
              <w:left w:val="nil"/>
              <w:bottom w:val="single" w:color="auto" w:sz="4" w:space="0"/>
              <w:right w:val="nil"/>
            </w:tcBorders>
            <w:shd w:val="clear" w:color="auto" w:fill="auto"/>
            <w:noWrap/>
            <w:vAlign w:val="center"/>
          </w:tcPr>
          <w:p w14:paraId="1E66B19B">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782" w:type="pct"/>
            <w:tcBorders>
              <w:top w:val="nil"/>
              <w:left w:val="nil"/>
              <w:bottom w:val="single" w:color="auto" w:sz="4" w:space="0"/>
              <w:right w:val="nil"/>
            </w:tcBorders>
            <w:shd w:val="clear" w:color="auto" w:fill="auto"/>
            <w:vAlign w:val="center"/>
          </w:tcPr>
          <w:p w14:paraId="50CFA871">
            <w:pPr>
              <w:spacing w:line="276" w:lineRule="auto"/>
              <w:jc w:val="center"/>
              <w:rPr>
                <w:rFonts w:ascii="Arial" w:hAnsi="Arial" w:cs="Arial"/>
                <w:b/>
                <w:bCs/>
                <w:color w:val="000000"/>
                <w:sz w:val="18"/>
                <w:szCs w:val="18"/>
              </w:rPr>
            </w:pPr>
            <w:r>
              <w:rPr>
                <w:rFonts w:ascii="Arial" w:hAnsi="Arial" w:cs="Arial"/>
                <w:b/>
                <w:bCs/>
                <w:color w:val="000000"/>
                <w:sz w:val="18"/>
                <w:szCs w:val="18"/>
              </w:rPr>
              <w:t>početna vrijednost – broj učenika</w:t>
            </w:r>
          </w:p>
        </w:tc>
        <w:tc>
          <w:tcPr>
            <w:tcW w:w="782" w:type="pct"/>
            <w:tcBorders>
              <w:top w:val="nil"/>
              <w:left w:val="nil"/>
              <w:bottom w:val="single" w:color="auto" w:sz="4" w:space="0"/>
              <w:right w:val="nil"/>
            </w:tcBorders>
            <w:shd w:val="clear" w:color="auto" w:fill="auto"/>
            <w:vAlign w:val="center"/>
          </w:tcPr>
          <w:p w14:paraId="2BDE429D">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560" w:type="pct"/>
            <w:gridSpan w:val="2"/>
            <w:tcBorders>
              <w:top w:val="nil"/>
              <w:left w:val="nil"/>
              <w:bottom w:val="single" w:color="auto" w:sz="4" w:space="0"/>
              <w:right w:val="nil"/>
            </w:tcBorders>
            <w:shd w:val="clear" w:color="auto" w:fill="auto"/>
            <w:vAlign w:val="center"/>
          </w:tcPr>
          <w:p w14:paraId="34D275AE">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0164448F">
        <w:tblPrEx>
          <w:tblCellMar>
            <w:top w:w="0" w:type="dxa"/>
            <w:left w:w="108" w:type="dxa"/>
            <w:bottom w:w="0" w:type="dxa"/>
            <w:right w:w="108" w:type="dxa"/>
          </w:tblCellMar>
        </w:tblPrEx>
        <w:trPr>
          <w:trHeight w:val="340" w:hRule="atLeast"/>
        </w:trPr>
        <w:tc>
          <w:tcPr>
            <w:tcW w:w="1874" w:type="pct"/>
            <w:tcBorders>
              <w:top w:val="nil"/>
              <w:left w:val="nil"/>
              <w:bottom w:val="single" w:color="auto" w:sz="4" w:space="0"/>
              <w:right w:val="nil"/>
            </w:tcBorders>
            <w:shd w:val="clear" w:color="auto" w:fill="auto"/>
            <w:vAlign w:val="center"/>
          </w:tcPr>
          <w:p w14:paraId="38F0C723">
            <w:pPr>
              <w:spacing w:line="276" w:lineRule="auto"/>
              <w:rPr>
                <w:rFonts w:ascii="Arial" w:hAnsi="Arial" w:cs="Arial"/>
                <w:color w:val="000000"/>
                <w:sz w:val="18"/>
                <w:szCs w:val="18"/>
              </w:rPr>
            </w:pPr>
            <w:r>
              <w:rPr>
                <w:rFonts w:ascii="Arial" w:hAnsi="Arial" w:cs="Arial"/>
                <w:color w:val="000000"/>
                <w:sz w:val="18"/>
                <w:szCs w:val="18"/>
              </w:rPr>
              <w:t>Broj učenika koji ostvaruju zavidne rezultate na županijskim natjecanjima</w:t>
            </w:r>
          </w:p>
        </w:tc>
        <w:tc>
          <w:tcPr>
            <w:tcW w:w="782" w:type="pct"/>
            <w:tcBorders>
              <w:top w:val="nil"/>
              <w:left w:val="nil"/>
              <w:bottom w:val="single" w:color="auto" w:sz="4" w:space="0"/>
              <w:right w:val="nil"/>
            </w:tcBorders>
            <w:shd w:val="clear" w:color="auto" w:fill="auto"/>
            <w:noWrap/>
            <w:vAlign w:val="center"/>
          </w:tcPr>
          <w:p w14:paraId="3797CF66">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10</w:t>
            </w:r>
          </w:p>
        </w:tc>
        <w:tc>
          <w:tcPr>
            <w:tcW w:w="782" w:type="pct"/>
            <w:tcBorders>
              <w:top w:val="nil"/>
              <w:left w:val="nil"/>
              <w:bottom w:val="single" w:color="auto" w:sz="4" w:space="0"/>
              <w:right w:val="nil"/>
            </w:tcBorders>
            <w:shd w:val="clear" w:color="auto" w:fill="auto"/>
            <w:noWrap/>
            <w:vAlign w:val="center"/>
          </w:tcPr>
          <w:p w14:paraId="24E2D20A">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10</w:t>
            </w:r>
          </w:p>
        </w:tc>
        <w:tc>
          <w:tcPr>
            <w:tcW w:w="782" w:type="pct"/>
            <w:tcBorders>
              <w:top w:val="nil"/>
              <w:left w:val="nil"/>
              <w:bottom w:val="single" w:color="auto" w:sz="4" w:space="0"/>
              <w:right w:val="nil"/>
            </w:tcBorders>
            <w:shd w:val="clear" w:color="auto" w:fill="auto"/>
            <w:noWrap/>
            <w:vAlign w:val="center"/>
          </w:tcPr>
          <w:p w14:paraId="75DCB7D9">
            <w:pPr>
              <w:spacing w:line="276" w:lineRule="auto"/>
              <w:jc w:val="right"/>
              <w:rPr>
                <w:rFonts w:ascii="Arial" w:hAnsi="Arial" w:cs="Arial"/>
                <w:color w:val="000000"/>
                <w:sz w:val="18"/>
                <w:szCs w:val="18"/>
              </w:rPr>
            </w:pPr>
          </w:p>
        </w:tc>
        <w:tc>
          <w:tcPr>
            <w:tcW w:w="777" w:type="pct"/>
            <w:tcBorders>
              <w:top w:val="nil"/>
              <w:left w:val="nil"/>
              <w:bottom w:val="single" w:color="auto" w:sz="4" w:space="0"/>
              <w:right w:val="nil"/>
            </w:tcBorders>
            <w:shd w:val="clear" w:color="auto" w:fill="auto"/>
            <w:noWrap/>
            <w:vAlign w:val="center"/>
          </w:tcPr>
          <w:p w14:paraId="69F4ED1F">
            <w:pPr>
              <w:spacing w:line="276" w:lineRule="auto"/>
              <w:jc w:val="right"/>
              <w:rPr>
                <w:rFonts w:hint="default" w:ascii="Arial" w:hAnsi="Arial" w:cs="Arial"/>
                <w:color w:val="auto"/>
                <w:sz w:val="18"/>
                <w:szCs w:val="18"/>
                <w:lang w:val="hr-HR"/>
              </w:rPr>
            </w:pPr>
            <w:r>
              <w:rPr>
                <w:rFonts w:hint="default" w:ascii="Arial" w:hAnsi="Arial" w:cs="Arial"/>
                <w:color w:val="auto"/>
                <w:sz w:val="18"/>
                <w:szCs w:val="18"/>
                <w:lang w:val="hr-HR"/>
              </w:rPr>
              <w:t>10</w:t>
            </w:r>
          </w:p>
        </w:tc>
      </w:tr>
      <w:tr w14:paraId="0D1B1300">
        <w:tblPrEx>
          <w:tblCellMar>
            <w:top w:w="0" w:type="dxa"/>
            <w:left w:w="108" w:type="dxa"/>
            <w:bottom w:w="0" w:type="dxa"/>
            <w:right w:w="108" w:type="dxa"/>
          </w:tblCellMar>
        </w:tblPrEx>
        <w:trPr>
          <w:trHeight w:val="340" w:hRule="atLeast"/>
        </w:trPr>
        <w:tc>
          <w:tcPr>
            <w:tcW w:w="1874" w:type="pct"/>
            <w:tcBorders>
              <w:top w:val="nil"/>
              <w:left w:val="nil"/>
              <w:bottom w:val="single" w:color="auto" w:sz="4" w:space="0"/>
              <w:right w:val="nil"/>
            </w:tcBorders>
            <w:shd w:val="clear" w:color="auto" w:fill="auto"/>
            <w:vAlign w:val="center"/>
          </w:tcPr>
          <w:p w14:paraId="430C5513">
            <w:pPr>
              <w:spacing w:line="276" w:lineRule="auto"/>
              <w:rPr>
                <w:rFonts w:ascii="Arial" w:hAnsi="Arial" w:cs="Arial"/>
                <w:color w:val="000000"/>
                <w:sz w:val="18"/>
                <w:szCs w:val="18"/>
              </w:rPr>
            </w:pPr>
            <w:r>
              <w:rPr>
                <w:rFonts w:ascii="Arial" w:hAnsi="Arial" w:cs="Arial"/>
                <w:color w:val="000000"/>
                <w:sz w:val="18"/>
                <w:szCs w:val="18"/>
              </w:rPr>
              <w:t>Broj učenika koji koriste uslugu školske prehrane, priprema zdravih obroka</w:t>
            </w:r>
          </w:p>
        </w:tc>
        <w:tc>
          <w:tcPr>
            <w:tcW w:w="782" w:type="pct"/>
            <w:tcBorders>
              <w:top w:val="nil"/>
              <w:left w:val="nil"/>
              <w:bottom w:val="single" w:color="auto" w:sz="4" w:space="0"/>
              <w:right w:val="nil"/>
            </w:tcBorders>
            <w:shd w:val="clear" w:color="auto" w:fill="auto"/>
            <w:noWrap/>
            <w:vAlign w:val="center"/>
          </w:tcPr>
          <w:p w14:paraId="3A33076F">
            <w:pPr>
              <w:spacing w:line="276" w:lineRule="auto"/>
              <w:jc w:val="right"/>
              <w:rPr>
                <w:rFonts w:hint="default" w:ascii="Arial" w:hAnsi="Arial" w:cs="Arial"/>
                <w:color w:val="000000"/>
                <w:sz w:val="18"/>
                <w:szCs w:val="18"/>
                <w:lang w:val="hr-HR"/>
              </w:rPr>
            </w:pPr>
            <w:r>
              <w:rPr>
                <w:rFonts w:ascii="Arial" w:hAnsi="Arial" w:cs="Arial"/>
                <w:color w:val="000000"/>
                <w:sz w:val="18"/>
                <w:szCs w:val="18"/>
              </w:rPr>
              <w:t>1</w:t>
            </w:r>
            <w:r>
              <w:rPr>
                <w:rFonts w:hint="default" w:ascii="Arial" w:hAnsi="Arial" w:cs="Arial"/>
                <w:color w:val="000000"/>
                <w:sz w:val="18"/>
                <w:szCs w:val="18"/>
                <w:lang w:val="hr-HR"/>
              </w:rPr>
              <w:t>36</w:t>
            </w:r>
          </w:p>
        </w:tc>
        <w:tc>
          <w:tcPr>
            <w:tcW w:w="782" w:type="pct"/>
            <w:tcBorders>
              <w:top w:val="nil"/>
              <w:left w:val="nil"/>
              <w:bottom w:val="single" w:color="auto" w:sz="4" w:space="0"/>
              <w:right w:val="nil"/>
            </w:tcBorders>
            <w:shd w:val="clear" w:color="auto" w:fill="auto"/>
            <w:noWrap/>
            <w:vAlign w:val="center"/>
          </w:tcPr>
          <w:p w14:paraId="246CA582">
            <w:pPr>
              <w:spacing w:line="276" w:lineRule="auto"/>
              <w:jc w:val="right"/>
              <w:rPr>
                <w:rFonts w:ascii="Arial" w:hAnsi="Arial" w:cs="Arial"/>
                <w:color w:val="000000"/>
                <w:sz w:val="18"/>
                <w:szCs w:val="18"/>
              </w:rPr>
            </w:pPr>
            <w:r>
              <w:rPr>
                <w:rFonts w:hint="default" w:ascii="Arial" w:hAnsi="Arial" w:cs="Arial"/>
                <w:color w:val="000000"/>
                <w:sz w:val="18"/>
                <w:szCs w:val="18"/>
                <w:lang w:val="hr-HR"/>
              </w:rPr>
              <w:t>139</w:t>
            </w:r>
          </w:p>
        </w:tc>
        <w:tc>
          <w:tcPr>
            <w:tcW w:w="782" w:type="pct"/>
            <w:tcBorders>
              <w:top w:val="nil"/>
              <w:left w:val="nil"/>
              <w:bottom w:val="single" w:color="auto" w:sz="4" w:space="0"/>
              <w:right w:val="nil"/>
            </w:tcBorders>
            <w:shd w:val="clear" w:color="auto" w:fill="auto"/>
            <w:noWrap/>
            <w:vAlign w:val="center"/>
          </w:tcPr>
          <w:p w14:paraId="524C0F80">
            <w:pPr>
              <w:spacing w:line="276" w:lineRule="auto"/>
              <w:jc w:val="right"/>
              <w:rPr>
                <w:rFonts w:ascii="Arial" w:hAnsi="Arial" w:cs="Arial"/>
                <w:color w:val="000000"/>
                <w:sz w:val="18"/>
                <w:szCs w:val="18"/>
              </w:rPr>
            </w:pPr>
          </w:p>
        </w:tc>
        <w:tc>
          <w:tcPr>
            <w:tcW w:w="777" w:type="pct"/>
            <w:tcBorders>
              <w:top w:val="nil"/>
              <w:left w:val="nil"/>
              <w:bottom w:val="single" w:color="auto" w:sz="4" w:space="0"/>
              <w:right w:val="nil"/>
            </w:tcBorders>
            <w:shd w:val="clear" w:color="auto" w:fill="auto"/>
            <w:noWrap/>
            <w:vAlign w:val="center"/>
          </w:tcPr>
          <w:p w14:paraId="680E2335">
            <w:pPr>
              <w:spacing w:line="276" w:lineRule="auto"/>
              <w:jc w:val="right"/>
              <w:rPr>
                <w:rFonts w:ascii="Arial" w:hAnsi="Arial" w:cs="Arial"/>
                <w:color w:val="auto"/>
                <w:sz w:val="18"/>
                <w:szCs w:val="18"/>
              </w:rPr>
            </w:pPr>
            <w:r>
              <w:rPr>
                <w:rFonts w:hint="default" w:ascii="Arial" w:hAnsi="Arial" w:cs="Arial"/>
                <w:color w:val="auto"/>
                <w:sz w:val="18"/>
                <w:szCs w:val="18"/>
                <w:lang w:val="hr-HR"/>
              </w:rPr>
              <w:t>136</w:t>
            </w:r>
          </w:p>
        </w:tc>
      </w:tr>
      <w:tr w14:paraId="6DFFB94E">
        <w:tblPrEx>
          <w:tblCellMar>
            <w:top w:w="0" w:type="dxa"/>
            <w:left w:w="108" w:type="dxa"/>
            <w:bottom w:w="0" w:type="dxa"/>
            <w:right w:w="108" w:type="dxa"/>
          </w:tblCellMar>
        </w:tblPrEx>
        <w:trPr>
          <w:trHeight w:val="340" w:hRule="atLeast"/>
        </w:trPr>
        <w:tc>
          <w:tcPr>
            <w:tcW w:w="1874" w:type="pct"/>
            <w:tcBorders>
              <w:top w:val="nil"/>
              <w:left w:val="nil"/>
              <w:bottom w:val="single" w:color="auto" w:sz="4" w:space="0"/>
              <w:right w:val="nil"/>
            </w:tcBorders>
            <w:shd w:val="clear" w:color="auto" w:fill="auto"/>
            <w:vAlign w:val="center"/>
          </w:tcPr>
          <w:p w14:paraId="361ECB39">
            <w:pPr>
              <w:spacing w:line="276" w:lineRule="auto"/>
              <w:rPr>
                <w:rFonts w:ascii="Arial" w:hAnsi="Arial" w:cs="Arial"/>
                <w:color w:val="000000"/>
                <w:sz w:val="18"/>
                <w:szCs w:val="18"/>
              </w:rPr>
            </w:pPr>
            <w:r>
              <w:rPr>
                <w:rFonts w:ascii="Arial" w:hAnsi="Arial" w:cs="Arial"/>
                <w:color w:val="000000"/>
                <w:sz w:val="18"/>
                <w:szCs w:val="18"/>
              </w:rPr>
              <w:t>Broj učenika koji koriste uslugu produženog boravka</w:t>
            </w:r>
          </w:p>
        </w:tc>
        <w:tc>
          <w:tcPr>
            <w:tcW w:w="782" w:type="pct"/>
            <w:tcBorders>
              <w:top w:val="nil"/>
              <w:left w:val="nil"/>
              <w:bottom w:val="single" w:color="auto" w:sz="4" w:space="0"/>
              <w:right w:val="nil"/>
            </w:tcBorders>
            <w:shd w:val="clear" w:color="auto" w:fill="auto"/>
            <w:noWrap/>
            <w:vAlign w:val="center"/>
          </w:tcPr>
          <w:p w14:paraId="047B7974">
            <w:pPr>
              <w:spacing w:line="276" w:lineRule="auto"/>
              <w:jc w:val="right"/>
              <w:rPr>
                <w:rFonts w:hint="default" w:ascii="Arial" w:hAnsi="Arial" w:cs="Arial"/>
                <w:sz w:val="18"/>
                <w:szCs w:val="18"/>
                <w:lang w:val="hr-HR"/>
              </w:rPr>
            </w:pPr>
            <w:r>
              <w:rPr>
                <w:rFonts w:hint="default" w:ascii="Arial" w:hAnsi="Arial" w:cs="Arial"/>
                <w:sz w:val="18"/>
                <w:szCs w:val="18"/>
                <w:lang w:val="hr-HR"/>
              </w:rPr>
              <w:t>32</w:t>
            </w:r>
          </w:p>
        </w:tc>
        <w:tc>
          <w:tcPr>
            <w:tcW w:w="782" w:type="pct"/>
            <w:tcBorders>
              <w:top w:val="nil"/>
              <w:left w:val="nil"/>
              <w:bottom w:val="single" w:color="auto" w:sz="4" w:space="0"/>
              <w:right w:val="nil"/>
            </w:tcBorders>
            <w:shd w:val="clear" w:color="auto" w:fill="auto"/>
            <w:noWrap/>
            <w:vAlign w:val="center"/>
          </w:tcPr>
          <w:p w14:paraId="7B006A89">
            <w:pPr>
              <w:spacing w:line="276" w:lineRule="auto"/>
              <w:jc w:val="right"/>
              <w:rPr>
                <w:rFonts w:hint="default" w:ascii="Arial" w:hAnsi="Arial" w:cs="Arial"/>
                <w:sz w:val="18"/>
                <w:szCs w:val="18"/>
                <w:lang w:val="hr-HR"/>
              </w:rPr>
            </w:pPr>
            <w:r>
              <w:rPr>
                <w:rFonts w:hint="default" w:ascii="Arial" w:hAnsi="Arial" w:cs="Arial"/>
                <w:sz w:val="18"/>
                <w:szCs w:val="18"/>
                <w:lang w:val="hr-HR"/>
              </w:rPr>
              <w:t>30</w:t>
            </w:r>
          </w:p>
        </w:tc>
        <w:tc>
          <w:tcPr>
            <w:tcW w:w="782" w:type="pct"/>
            <w:tcBorders>
              <w:top w:val="nil"/>
              <w:left w:val="nil"/>
              <w:bottom w:val="single" w:color="auto" w:sz="4" w:space="0"/>
              <w:right w:val="nil"/>
            </w:tcBorders>
            <w:shd w:val="clear" w:color="auto" w:fill="auto"/>
            <w:noWrap/>
            <w:vAlign w:val="center"/>
          </w:tcPr>
          <w:p w14:paraId="291209B1">
            <w:pPr>
              <w:spacing w:line="276" w:lineRule="auto"/>
              <w:jc w:val="right"/>
              <w:rPr>
                <w:rFonts w:ascii="Arial" w:hAnsi="Arial" w:cs="Arial"/>
                <w:sz w:val="18"/>
                <w:szCs w:val="18"/>
              </w:rPr>
            </w:pPr>
          </w:p>
        </w:tc>
        <w:tc>
          <w:tcPr>
            <w:tcW w:w="777" w:type="pct"/>
            <w:tcBorders>
              <w:top w:val="nil"/>
              <w:left w:val="nil"/>
              <w:bottom w:val="single" w:color="auto" w:sz="4" w:space="0"/>
              <w:right w:val="nil"/>
            </w:tcBorders>
            <w:shd w:val="clear" w:color="auto" w:fill="auto"/>
            <w:noWrap/>
            <w:vAlign w:val="center"/>
          </w:tcPr>
          <w:p w14:paraId="39C56A5D">
            <w:pPr>
              <w:spacing w:line="276" w:lineRule="auto"/>
              <w:jc w:val="right"/>
              <w:rPr>
                <w:rFonts w:hint="default" w:ascii="Arial" w:hAnsi="Arial" w:cs="Arial"/>
                <w:sz w:val="18"/>
                <w:szCs w:val="18"/>
                <w:lang w:val="hr-HR"/>
              </w:rPr>
            </w:pPr>
            <w:r>
              <w:rPr>
                <w:rFonts w:hint="default" w:ascii="Arial" w:hAnsi="Arial" w:cs="Arial"/>
                <w:sz w:val="18"/>
                <w:szCs w:val="18"/>
                <w:lang w:val="hr-HR"/>
              </w:rPr>
              <w:t>36</w:t>
            </w:r>
          </w:p>
        </w:tc>
      </w:tr>
      <w:tr w14:paraId="3D247E29">
        <w:tblPrEx>
          <w:tblCellMar>
            <w:top w:w="0" w:type="dxa"/>
            <w:left w:w="108" w:type="dxa"/>
            <w:bottom w:w="0" w:type="dxa"/>
            <w:right w:w="108" w:type="dxa"/>
          </w:tblCellMar>
        </w:tblPrEx>
        <w:trPr>
          <w:trHeight w:val="340" w:hRule="atLeast"/>
        </w:trPr>
        <w:tc>
          <w:tcPr>
            <w:tcW w:w="1874" w:type="pct"/>
            <w:tcBorders>
              <w:top w:val="nil"/>
              <w:left w:val="nil"/>
              <w:bottom w:val="single" w:color="auto" w:sz="4" w:space="0"/>
              <w:right w:val="nil"/>
            </w:tcBorders>
            <w:shd w:val="clear" w:color="auto" w:fill="auto"/>
            <w:vAlign w:val="center"/>
          </w:tcPr>
          <w:p w14:paraId="0C64BF7B">
            <w:pPr>
              <w:spacing w:line="276" w:lineRule="auto"/>
              <w:rPr>
                <w:rFonts w:ascii="Arial" w:hAnsi="Arial" w:cs="Arial"/>
                <w:color w:val="000000"/>
                <w:sz w:val="18"/>
                <w:szCs w:val="18"/>
              </w:rPr>
            </w:pPr>
            <w:r>
              <w:rPr>
                <w:rFonts w:ascii="Arial" w:hAnsi="Arial" w:cs="Arial"/>
                <w:color w:val="000000"/>
                <w:sz w:val="18"/>
                <w:szCs w:val="18"/>
              </w:rPr>
              <w:t>Osiguravanje besplatnih udžbenika</w:t>
            </w:r>
          </w:p>
        </w:tc>
        <w:tc>
          <w:tcPr>
            <w:tcW w:w="782" w:type="pct"/>
            <w:tcBorders>
              <w:top w:val="nil"/>
              <w:left w:val="nil"/>
              <w:bottom w:val="single" w:color="auto" w:sz="4" w:space="0"/>
              <w:right w:val="nil"/>
            </w:tcBorders>
            <w:shd w:val="clear" w:color="auto" w:fill="auto"/>
            <w:noWrap/>
            <w:vAlign w:val="center"/>
          </w:tcPr>
          <w:p w14:paraId="7350FE2A">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1</w:t>
            </w:r>
            <w:r>
              <w:rPr>
                <w:rFonts w:ascii="Arial" w:hAnsi="Arial" w:cs="Arial"/>
                <w:color w:val="000000"/>
                <w:sz w:val="18"/>
                <w:szCs w:val="18"/>
              </w:rPr>
              <w:t>3</w:t>
            </w:r>
            <w:r>
              <w:rPr>
                <w:rFonts w:hint="default" w:ascii="Arial" w:hAnsi="Arial" w:cs="Arial"/>
                <w:color w:val="000000"/>
                <w:sz w:val="18"/>
                <w:szCs w:val="18"/>
                <w:lang w:val="hr-HR"/>
              </w:rPr>
              <w:t>9</w:t>
            </w:r>
          </w:p>
        </w:tc>
        <w:tc>
          <w:tcPr>
            <w:tcW w:w="782" w:type="pct"/>
            <w:tcBorders>
              <w:top w:val="nil"/>
              <w:left w:val="nil"/>
              <w:bottom w:val="single" w:color="auto" w:sz="4" w:space="0"/>
              <w:right w:val="nil"/>
            </w:tcBorders>
            <w:shd w:val="clear" w:color="auto" w:fill="auto"/>
            <w:noWrap/>
            <w:vAlign w:val="center"/>
          </w:tcPr>
          <w:p w14:paraId="0B125DC2">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139</w:t>
            </w:r>
          </w:p>
        </w:tc>
        <w:tc>
          <w:tcPr>
            <w:tcW w:w="782" w:type="pct"/>
            <w:tcBorders>
              <w:top w:val="nil"/>
              <w:left w:val="nil"/>
              <w:bottom w:val="single" w:color="auto" w:sz="4" w:space="0"/>
              <w:right w:val="nil"/>
            </w:tcBorders>
            <w:shd w:val="clear" w:color="auto" w:fill="auto"/>
            <w:noWrap/>
            <w:vAlign w:val="center"/>
          </w:tcPr>
          <w:p w14:paraId="0CA9AE0D">
            <w:pPr>
              <w:spacing w:line="276" w:lineRule="auto"/>
              <w:jc w:val="right"/>
              <w:rPr>
                <w:rFonts w:ascii="Arial" w:hAnsi="Arial" w:cs="Arial"/>
                <w:color w:val="000000"/>
                <w:sz w:val="18"/>
                <w:szCs w:val="18"/>
              </w:rPr>
            </w:pPr>
          </w:p>
        </w:tc>
        <w:tc>
          <w:tcPr>
            <w:tcW w:w="777" w:type="pct"/>
            <w:tcBorders>
              <w:top w:val="nil"/>
              <w:left w:val="nil"/>
              <w:bottom w:val="single" w:color="auto" w:sz="4" w:space="0"/>
              <w:right w:val="nil"/>
            </w:tcBorders>
            <w:shd w:val="clear" w:color="auto" w:fill="auto"/>
            <w:noWrap/>
            <w:vAlign w:val="center"/>
          </w:tcPr>
          <w:p w14:paraId="707EF96A">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139</w:t>
            </w:r>
          </w:p>
        </w:tc>
      </w:tr>
      <w:tr w14:paraId="3B0E2391">
        <w:tblPrEx>
          <w:tblCellMar>
            <w:top w:w="0" w:type="dxa"/>
            <w:left w:w="108" w:type="dxa"/>
            <w:bottom w:w="0" w:type="dxa"/>
            <w:right w:w="108" w:type="dxa"/>
          </w:tblCellMar>
        </w:tblPrEx>
        <w:trPr>
          <w:trHeight w:val="340" w:hRule="atLeast"/>
        </w:trPr>
        <w:tc>
          <w:tcPr>
            <w:tcW w:w="1874" w:type="pct"/>
            <w:tcBorders>
              <w:top w:val="single" w:color="auto" w:sz="4" w:space="0"/>
              <w:left w:val="nil"/>
              <w:bottom w:val="single" w:color="auto" w:sz="4" w:space="0"/>
              <w:right w:val="nil"/>
            </w:tcBorders>
            <w:shd w:val="clear" w:color="auto" w:fill="auto"/>
            <w:vAlign w:val="center"/>
          </w:tcPr>
          <w:p w14:paraId="762C5CC1">
            <w:pPr>
              <w:spacing w:line="276" w:lineRule="auto"/>
              <w:rPr>
                <w:rFonts w:hint="default" w:ascii="Arial" w:hAnsi="Arial" w:cs="Arial"/>
                <w:color w:val="000000"/>
                <w:sz w:val="18"/>
                <w:szCs w:val="18"/>
                <w:lang w:val="hr-HR"/>
              </w:rPr>
            </w:pPr>
            <w:r>
              <w:rPr>
                <w:rFonts w:hint="default" w:ascii="Arial" w:hAnsi="Arial" w:cs="Arial"/>
                <w:color w:val="000000"/>
                <w:sz w:val="18"/>
                <w:szCs w:val="18"/>
                <w:lang w:val="hr-HR"/>
              </w:rPr>
              <w:t>Nagrade za učenike</w:t>
            </w:r>
          </w:p>
        </w:tc>
        <w:tc>
          <w:tcPr>
            <w:tcW w:w="782" w:type="pct"/>
            <w:tcBorders>
              <w:top w:val="single" w:color="auto" w:sz="4" w:space="0"/>
              <w:left w:val="nil"/>
              <w:bottom w:val="single" w:color="auto" w:sz="4" w:space="0"/>
              <w:right w:val="nil"/>
            </w:tcBorders>
            <w:shd w:val="clear" w:color="auto" w:fill="auto"/>
            <w:noWrap/>
            <w:vAlign w:val="center"/>
          </w:tcPr>
          <w:p w14:paraId="7AF0D010">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3</w:t>
            </w:r>
          </w:p>
        </w:tc>
        <w:tc>
          <w:tcPr>
            <w:tcW w:w="782" w:type="pct"/>
            <w:tcBorders>
              <w:top w:val="single" w:color="auto" w:sz="4" w:space="0"/>
              <w:left w:val="nil"/>
              <w:bottom w:val="single" w:color="auto" w:sz="4" w:space="0"/>
              <w:right w:val="nil"/>
            </w:tcBorders>
            <w:shd w:val="clear" w:color="auto" w:fill="auto"/>
            <w:noWrap/>
            <w:vAlign w:val="center"/>
          </w:tcPr>
          <w:p w14:paraId="4220904D">
            <w:pPr>
              <w:spacing w:line="276" w:lineRule="auto"/>
              <w:jc w:val="right"/>
              <w:rPr>
                <w:rFonts w:hint="default" w:ascii="Arial" w:hAnsi="Arial" w:cs="Arial"/>
                <w:sz w:val="18"/>
                <w:szCs w:val="18"/>
                <w:lang w:val="hr-HR"/>
              </w:rPr>
            </w:pPr>
            <w:r>
              <w:rPr>
                <w:rFonts w:hint="default" w:ascii="Arial" w:hAnsi="Arial" w:cs="Arial"/>
                <w:sz w:val="18"/>
                <w:szCs w:val="18"/>
                <w:lang w:val="hr-HR"/>
              </w:rPr>
              <w:t>3</w:t>
            </w:r>
          </w:p>
        </w:tc>
        <w:tc>
          <w:tcPr>
            <w:tcW w:w="782" w:type="pct"/>
            <w:tcBorders>
              <w:top w:val="single" w:color="auto" w:sz="4" w:space="0"/>
              <w:left w:val="nil"/>
              <w:bottom w:val="single" w:color="auto" w:sz="4" w:space="0"/>
              <w:right w:val="nil"/>
            </w:tcBorders>
            <w:shd w:val="clear" w:color="auto" w:fill="auto"/>
            <w:noWrap/>
            <w:vAlign w:val="center"/>
          </w:tcPr>
          <w:p w14:paraId="47B54FF3">
            <w:pPr>
              <w:spacing w:line="276" w:lineRule="auto"/>
              <w:jc w:val="right"/>
              <w:rPr>
                <w:rFonts w:ascii="Arial" w:hAnsi="Arial" w:cs="Arial"/>
                <w:sz w:val="18"/>
                <w:szCs w:val="18"/>
              </w:rPr>
            </w:pPr>
          </w:p>
        </w:tc>
        <w:tc>
          <w:tcPr>
            <w:tcW w:w="777" w:type="pct"/>
            <w:tcBorders>
              <w:top w:val="single" w:color="auto" w:sz="4" w:space="0"/>
              <w:left w:val="nil"/>
              <w:bottom w:val="single" w:color="auto" w:sz="4" w:space="0"/>
              <w:right w:val="nil"/>
            </w:tcBorders>
            <w:shd w:val="clear" w:color="auto" w:fill="auto"/>
            <w:noWrap/>
            <w:vAlign w:val="center"/>
          </w:tcPr>
          <w:p w14:paraId="5FF82637">
            <w:pPr>
              <w:spacing w:line="276" w:lineRule="auto"/>
              <w:jc w:val="right"/>
              <w:rPr>
                <w:rFonts w:hint="default" w:ascii="Arial" w:hAnsi="Arial" w:cs="Arial"/>
                <w:color w:val="FF0000"/>
                <w:sz w:val="18"/>
                <w:szCs w:val="18"/>
                <w:lang w:val="hr-HR"/>
              </w:rPr>
            </w:pPr>
            <w:r>
              <w:rPr>
                <w:rFonts w:hint="default" w:ascii="Arial" w:hAnsi="Arial" w:cs="Arial"/>
                <w:color w:val="auto"/>
                <w:sz w:val="18"/>
                <w:szCs w:val="18"/>
                <w:lang w:val="hr-HR"/>
              </w:rPr>
              <w:t>3</w:t>
            </w:r>
          </w:p>
        </w:tc>
      </w:tr>
      <w:tr w14:paraId="3008B45C">
        <w:tblPrEx>
          <w:tblCellMar>
            <w:top w:w="0" w:type="dxa"/>
            <w:left w:w="108" w:type="dxa"/>
            <w:bottom w:w="0" w:type="dxa"/>
            <w:right w:w="108" w:type="dxa"/>
          </w:tblCellMar>
        </w:tblPrEx>
        <w:trPr>
          <w:trHeight w:val="340" w:hRule="atLeast"/>
        </w:trPr>
        <w:tc>
          <w:tcPr>
            <w:tcW w:w="1874" w:type="pct"/>
            <w:tcBorders>
              <w:top w:val="single" w:color="auto" w:sz="4" w:space="0"/>
              <w:left w:val="nil"/>
              <w:bottom w:val="single" w:color="auto" w:sz="4" w:space="0"/>
              <w:right w:val="nil"/>
            </w:tcBorders>
            <w:shd w:val="clear" w:color="auto" w:fill="auto"/>
            <w:vAlign w:val="center"/>
          </w:tcPr>
          <w:p w14:paraId="7C29EF72">
            <w:pPr>
              <w:spacing w:line="276" w:lineRule="auto"/>
              <w:rPr>
                <w:rFonts w:ascii="Arial" w:hAnsi="Arial" w:cs="Arial"/>
                <w:color w:val="000000"/>
                <w:sz w:val="18"/>
                <w:szCs w:val="18"/>
              </w:rPr>
            </w:pPr>
            <w:r>
              <w:rPr>
                <w:rFonts w:ascii="Arial" w:hAnsi="Arial" w:cs="Arial"/>
                <w:color w:val="000000"/>
                <w:sz w:val="18"/>
                <w:szCs w:val="18"/>
              </w:rPr>
              <w:t>Provođenje nastave građanskog odgoja – projekt koji se provodi s učenicima viših razreda</w:t>
            </w:r>
          </w:p>
        </w:tc>
        <w:tc>
          <w:tcPr>
            <w:tcW w:w="782" w:type="pct"/>
            <w:tcBorders>
              <w:top w:val="single" w:color="auto" w:sz="4" w:space="0"/>
              <w:left w:val="nil"/>
              <w:bottom w:val="single" w:color="auto" w:sz="4" w:space="0"/>
              <w:right w:val="nil"/>
            </w:tcBorders>
            <w:shd w:val="clear" w:color="auto" w:fill="auto"/>
            <w:noWrap/>
            <w:vAlign w:val="center"/>
          </w:tcPr>
          <w:p w14:paraId="2E827C96">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20</w:t>
            </w:r>
          </w:p>
        </w:tc>
        <w:tc>
          <w:tcPr>
            <w:tcW w:w="782" w:type="pct"/>
            <w:tcBorders>
              <w:top w:val="single" w:color="auto" w:sz="4" w:space="0"/>
              <w:left w:val="nil"/>
              <w:bottom w:val="single" w:color="auto" w:sz="4" w:space="0"/>
              <w:right w:val="nil"/>
            </w:tcBorders>
            <w:shd w:val="clear" w:color="auto" w:fill="auto"/>
            <w:noWrap/>
            <w:vAlign w:val="center"/>
          </w:tcPr>
          <w:p w14:paraId="3824376A">
            <w:pPr>
              <w:spacing w:line="276" w:lineRule="auto"/>
              <w:jc w:val="right"/>
              <w:rPr>
                <w:rFonts w:hint="default" w:ascii="Arial" w:hAnsi="Arial" w:cs="Arial"/>
                <w:sz w:val="18"/>
                <w:szCs w:val="18"/>
                <w:lang w:val="hr-HR"/>
              </w:rPr>
            </w:pPr>
            <w:r>
              <w:rPr>
                <w:rFonts w:hint="default" w:ascii="Arial" w:hAnsi="Arial" w:cs="Arial"/>
                <w:sz w:val="18"/>
                <w:szCs w:val="18"/>
                <w:lang w:val="hr-HR"/>
              </w:rPr>
              <w:t>20</w:t>
            </w:r>
          </w:p>
        </w:tc>
        <w:tc>
          <w:tcPr>
            <w:tcW w:w="782" w:type="pct"/>
            <w:tcBorders>
              <w:top w:val="single" w:color="auto" w:sz="4" w:space="0"/>
              <w:left w:val="nil"/>
              <w:bottom w:val="single" w:color="auto" w:sz="4" w:space="0"/>
              <w:right w:val="nil"/>
            </w:tcBorders>
            <w:shd w:val="clear" w:color="auto" w:fill="auto"/>
            <w:noWrap/>
            <w:vAlign w:val="center"/>
          </w:tcPr>
          <w:p w14:paraId="3D4CD116">
            <w:pPr>
              <w:spacing w:line="276" w:lineRule="auto"/>
              <w:jc w:val="right"/>
              <w:rPr>
                <w:rFonts w:ascii="Arial" w:hAnsi="Arial" w:cs="Arial"/>
                <w:sz w:val="18"/>
                <w:szCs w:val="18"/>
              </w:rPr>
            </w:pPr>
          </w:p>
        </w:tc>
        <w:tc>
          <w:tcPr>
            <w:tcW w:w="777" w:type="pct"/>
            <w:tcBorders>
              <w:top w:val="single" w:color="auto" w:sz="4" w:space="0"/>
              <w:left w:val="nil"/>
              <w:bottom w:val="single" w:color="auto" w:sz="4" w:space="0"/>
              <w:right w:val="nil"/>
            </w:tcBorders>
            <w:shd w:val="clear" w:color="auto" w:fill="auto"/>
            <w:noWrap/>
            <w:vAlign w:val="center"/>
          </w:tcPr>
          <w:p w14:paraId="48E58FCC">
            <w:pPr>
              <w:spacing w:line="276" w:lineRule="auto"/>
              <w:jc w:val="right"/>
              <w:rPr>
                <w:rFonts w:hint="default" w:ascii="Arial" w:hAnsi="Arial" w:cs="Arial"/>
                <w:color w:val="FF0000"/>
                <w:sz w:val="18"/>
                <w:szCs w:val="18"/>
                <w:lang w:val="hr-HR"/>
              </w:rPr>
            </w:pPr>
            <w:r>
              <w:rPr>
                <w:rFonts w:hint="default" w:ascii="Arial" w:hAnsi="Arial" w:cs="Arial"/>
                <w:color w:val="auto"/>
                <w:sz w:val="18"/>
                <w:szCs w:val="18"/>
                <w:lang w:val="hr-HR"/>
              </w:rPr>
              <w:t>20</w:t>
            </w:r>
          </w:p>
        </w:tc>
      </w:tr>
    </w:tbl>
    <w:p w14:paraId="71D72505">
      <w:pPr>
        <w:spacing w:line="276" w:lineRule="auto"/>
        <w:jc w:val="both"/>
        <w:rPr>
          <w:rFonts w:ascii="Arial" w:hAnsi="Arial" w:cs="Arial"/>
          <w:i/>
        </w:rPr>
      </w:pPr>
    </w:p>
    <w:p w14:paraId="46F504B4">
      <w:pPr>
        <w:spacing w:line="276" w:lineRule="auto"/>
        <w:jc w:val="both"/>
        <w:rPr>
          <w:rFonts w:ascii="Arial" w:hAnsi="Arial" w:cs="Arial"/>
          <w:iCs/>
        </w:rPr>
      </w:pPr>
      <w:r>
        <w:rPr>
          <w:rFonts w:ascii="Arial" w:hAnsi="Arial" w:cs="Arial"/>
          <w:iCs/>
        </w:rPr>
        <w:t>za mjeru 2.2.6.</w:t>
      </w:r>
    </w:p>
    <w:tbl>
      <w:tblPr>
        <w:tblStyle w:val="3"/>
        <w:tblW w:w="4323" w:type="pct"/>
        <w:tblInd w:w="0" w:type="dxa"/>
        <w:tblLayout w:type="autofit"/>
        <w:tblCellMar>
          <w:top w:w="0" w:type="dxa"/>
          <w:left w:w="108" w:type="dxa"/>
          <w:bottom w:w="0" w:type="dxa"/>
          <w:right w:w="108" w:type="dxa"/>
        </w:tblCellMar>
      </w:tblPr>
      <w:tblGrid>
        <w:gridCol w:w="3006"/>
        <w:gridCol w:w="1257"/>
        <w:gridCol w:w="1257"/>
        <w:gridCol w:w="1258"/>
        <w:gridCol w:w="1252"/>
      </w:tblGrid>
      <w:tr w14:paraId="6BE31C5B">
        <w:tblPrEx>
          <w:tblCellMar>
            <w:top w:w="0" w:type="dxa"/>
            <w:left w:w="108" w:type="dxa"/>
            <w:bottom w:w="0" w:type="dxa"/>
            <w:right w:w="108" w:type="dxa"/>
          </w:tblCellMar>
        </w:tblPrEx>
        <w:trPr>
          <w:trHeight w:val="624" w:hRule="atLeast"/>
        </w:trPr>
        <w:tc>
          <w:tcPr>
            <w:tcW w:w="1872" w:type="pct"/>
            <w:tcBorders>
              <w:top w:val="nil"/>
              <w:left w:val="nil"/>
              <w:bottom w:val="single" w:color="auto" w:sz="4" w:space="0"/>
              <w:right w:val="nil"/>
            </w:tcBorders>
            <w:shd w:val="clear" w:color="auto" w:fill="auto"/>
            <w:noWrap/>
            <w:vAlign w:val="center"/>
          </w:tcPr>
          <w:p w14:paraId="04DE4E74">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783" w:type="pct"/>
            <w:tcBorders>
              <w:top w:val="nil"/>
              <w:left w:val="nil"/>
              <w:bottom w:val="single" w:color="auto" w:sz="4" w:space="0"/>
              <w:right w:val="nil"/>
            </w:tcBorders>
            <w:shd w:val="clear" w:color="auto" w:fill="auto"/>
            <w:vAlign w:val="center"/>
          </w:tcPr>
          <w:p w14:paraId="7BE0EC09">
            <w:pPr>
              <w:spacing w:line="276" w:lineRule="auto"/>
              <w:jc w:val="center"/>
              <w:rPr>
                <w:rFonts w:ascii="Arial" w:hAnsi="Arial" w:cs="Arial"/>
                <w:b/>
                <w:bCs/>
                <w:color w:val="000000"/>
                <w:sz w:val="18"/>
                <w:szCs w:val="18"/>
              </w:rPr>
            </w:pPr>
            <w:r>
              <w:rPr>
                <w:rFonts w:ascii="Arial" w:hAnsi="Arial" w:cs="Arial"/>
                <w:b/>
                <w:bCs/>
                <w:color w:val="000000"/>
                <w:sz w:val="18"/>
                <w:szCs w:val="18"/>
              </w:rPr>
              <w:t>početna vrijednost (godina)</w:t>
            </w:r>
          </w:p>
        </w:tc>
        <w:tc>
          <w:tcPr>
            <w:tcW w:w="783" w:type="pct"/>
            <w:tcBorders>
              <w:top w:val="nil"/>
              <w:left w:val="nil"/>
              <w:bottom w:val="single" w:color="auto" w:sz="4" w:space="0"/>
              <w:right w:val="nil"/>
            </w:tcBorders>
            <w:shd w:val="clear" w:color="auto" w:fill="auto"/>
            <w:vAlign w:val="center"/>
          </w:tcPr>
          <w:p w14:paraId="2DE53879">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562" w:type="pct"/>
            <w:gridSpan w:val="2"/>
            <w:tcBorders>
              <w:top w:val="nil"/>
              <w:left w:val="nil"/>
              <w:bottom w:val="single" w:color="auto" w:sz="4" w:space="0"/>
              <w:right w:val="nil"/>
            </w:tcBorders>
            <w:shd w:val="clear" w:color="auto" w:fill="auto"/>
            <w:vAlign w:val="center"/>
          </w:tcPr>
          <w:p w14:paraId="202DA688">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54CAC664">
        <w:tblPrEx>
          <w:tblCellMar>
            <w:top w:w="0" w:type="dxa"/>
            <w:left w:w="108" w:type="dxa"/>
            <w:bottom w:w="0" w:type="dxa"/>
            <w:right w:w="108" w:type="dxa"/>
          </w:tblCellMar>
        </w:tblPrEx>
        <w:trPr>
          <w:trHeight w:val="624" w:hRule="atLeast"/>
        </w:trPr>
        <w:tc>
          <w:tcPr>
            <w:tcW w:w="1872" w:type="pct"/>
            <w:tcBorders>
              <w:top w:val="single" w:color="auto" w:sz="4" w:space="0"/>
              <w:left w:val="nil"/>
              <w:bottom w:val="single" w:color="auto" w:sz="4" w:space="0"/>
              <w:right w:val="nil"/>
            </w:tcBorders>
            <w:shd w:val="clear" w:color="auto" w:fill="auto"/>
            <w:vAlign w:val="center"/>
          </w:tcPr>
          <w:p w14:paraId="5527F097">
            <w:pPr>
              <w:spacing w:line="276" w:lineRule="auto"/>
              <w:rPr>
                <w:rFonts w:ascii="Arial" w:hAnsi="Arial" w:cs="Arial"/>
                <w:color w:val="000000"/>
                <w:sz w:val="18"/>
                <w:szCs w:val="18"/>
              </w:rPr>
            </w:pPr>
            <w:r>
              <w:rPr>
                <w:rFonts w:ascii="Arial" w:hAnsi="Arial" w:cs="Arial"/>
                <w:color w:val="000000"/>
                <w:sz w:val="18"/>
                <w:szCs w:val="18"/>
              </w:rPr>
              <w:t>Broj učenika prvih razreda OŠ kojima su dodijeljene promotivna staklenka meda i edukativna slikovnica</w:t>
            </w:r>
          </w:p>
        </w:tc>
        <w:tc>
          <w:tcPr>
            <w:tcW w:w="783" w:type="pct"/>
            <w:tcBorders>
              <w:top w:val="single" w:color="auto" w:sz="4" w:space="0"/>
              <w:left w:val="nil"/>
              <w:bottom w:val="single" w:color="auto" w:sz="4" w:space="0"/>
              <w:right w:val="nil"/>
            </w:tcBorders>
            <w:shd w:val="clear" w:color="auto" w:fill="auto"/>
            <w:noWrap/>
            <w:vAlign w:val="center"/>
          </w:tcPr>
          <w:p w14:paraId="5E10DB0D">
            <w:pPr>
              <w:spacing w:line="276" w:lineRule="auto"/>
              <w:jc w:val="right"/>
              <w:rPr>
                <w:rFonts w:hint="default" w:ascii="Arial" w:hAnsi="Arial" w:cs="Arial"/>
                <w:sz w:val="18"/>
                <w:szCs w:val="18"/>
                <w:lang w:val="hr-HR"/>
              </w:rPr>
            </w:pPr>
            <w:r>
              <w:rPr>
                <w:rFonts w:hint="default" w:ascii="Arial" w:hAnsi="Arial" w:cs="Arial"/>
                <w:sz w:val="18"/>
                <w:szCs w:val="18"/>
                <w:lang w:val="hr-HR"/>
              </w:rPr>
              <w:t>16</w:t>
            </w:r>
          </w:p>
        </w:tc>
        <w:tc>
          <w:tcPr>
            <w:tcW w:w="783" w:type="pct"/>
            <w:tcBorders>
              <w:top w:val="single" w:color="auto" w:sz="4" w:space="0"/>
              <w:left w:val="nil"/>
              <w:bottom w:val="single" w:color="auto" w:sz="4" w:space="0"/>
              <w:right w:val="nil"/>
            </w:tcBorders>
            <w:shd w:val="clear" w:color="auto" w:fill="auto"/>
            <w:noWrap/>
            <w:vAlign w:val="center"/>
          </w:tcPr>
          <w:p w14:paraId="1999C2B5">
            <w:pPr>
              <w:spacing w:line="276" w:lineRule="auto"/>
              <w:jc w:val="right"/>
              <w:rPr>
                <w:rFonts w:hint="default" w:ascii="Arial" w:hAnsi="Arial" w:cs="Arial"/>
                <w:sz w:val="18"/>
                <w:szCs w:val="18"/>
                <w:lang w:val="hr-HR"/>
              </w:rPr>
            </w:pPr>
            <w:r>
              <w:rPr>
                <w:rFonts w:hint="default" w:ascii="Arial" w:hAnsi="Arial" w:cs="Arial"/>
                <w:sz w:val="18"/>
                <w:szCs w:val="18"/>
                <w:lang w:val="hr-HR"/>
              </w:rPr>
              <w:t>17</w:t>
            </w:r>
          </w:p>
        </w:tc>
        <w:tc>
          <w:tcPr>
            <w:tcW w:w="783" w:type="pct"/>
            <w:tcBorders>
              <w:top w:val="single" w:color="auto" w:sz="4" w:space="0"/>
              <w:left w:val="nil"/>
              <w:bottom w:val="single" w:color="auto" w:sz="4" w:space="0"/>
              <w:right w:val="nil"/>
            </w:tcBorders>
            <w:shd w:val="clear" w:color="auto" w:fill="auto"/>
            <w:noWrap/>
            <w:vAlign w:val="center"/>
          </w:tcPr>
          <w:p w14:paraId="0AA1E436">
            <w:pPr>
              <w:spacing w:line="276" w:lineRule="auto"/>
              <w:jc w:val="right"/>
              <w:rPr>
                <w:rFonts w:ascii="Arial" w:hAnsi="Arial" w:cs="Arial"/>
                <w:sz w:val="18"/>
                <w:szCs w:val="18"/>
              </w:rPr>
            </w:pPr>
          </w:p>
        </w:tc>
        <w:tc>
          <w:tcPr>
            <w:tcW w:w="780" w:type="pct"/>
            <w:tcBorders>
              <w:top w:val="single" w:color="auto" w:sz="4" w:space="0"/>
              <w:left w:val="nil"/>
              <w:bottom w:val="single" w:color="auto" w:sz="4" w:space="0"/>
              <w:right w:val="nil"/>
            </w:tcBorders>
            <w:shd w:val="clear" w:color="auto" w:fill="auto"/>
            <w:noWrap/>
            <w:vAlign w:val="center"/>
          </w:tcPr>
          <w:p w14:paraId="2C5A5C59">
            <w:pPr>
              <w:spacing w:line="276" w:lineRule="auto"/>
              <w:jc w:val="right"/>
              <w:rPr>
                <w:rFonts w:hint="default" w:ascii="Arial" w:hAnsi="Arial" w:cs="Arial"/>
                <w:sz w:val="18"/>
                <w:szCs w:val="18"/>
                <w:lang w:val="hr-HR"/>
              </w:rPr>
            </w:pPr>
            <w:r>
              <w:rPr>
                <w:rFonts w:hint="default" w:ascii="Arial" w:hAnsi="Arial" w:cs="Arial"/>
                <w:sz w:val="18"/>
                <w:szCs w:val="18"/>
                <w:lang w:val="hr-HR"/>
              </w:rPr>
              <w:t>17</w:t>
            </w:r>
          </w:p>
        </w:tc>
      </w:tr>
    </w:tbl>
    <w:p w14:paraId="20F830B9">
      <w:pPr>
        <w:spacing w:line="276" w:lineRule="auto"/>
        <w:jc w:val="both"/>
        <w:rPr>
          <w:rFonts w:ascii="Arial" w:hAnsi="Arial" w:cs="Arial"/>
          <w:i/>
        </w:rPr>
      </w:pPr>
    </w:p>
    <w:p w14:paraId="5559D82F">
      <w:pPr>
        <w:spacing w:line="276" w:lineRule="auto"/>
        <w:jc w:val="both"/>
        <w:rPr>
          <w:rFonts w:ascii="Arial" w:hAnsi="Arial" w:cs="Arial"/>
        </w:rPr>
      </w:pPr>
      <w:r>
        <w:rPr>
          <w:rFonts w:ascii="Arial" w:hAnsi="Arial" w:cs="Arial"/>
          <w:iCs/>
        </w:rPr>
        <w:t>za mjeru 4.1.1.</w:t>
      </w:r>
    </w:p>
    <w:tbl>
      <w:tblPr>
        <w:tblStyle w:val="3"/>
        <w:tblW w:w="4323" w:type="pct"/>
        <w:tblInd w:w="0" w:type="dxa"/>
        <w:tblLayout w:type="autofit"/>
        <w:tblCellMar>
          <w:top w:w="0" w:type="dxa"/>
          <w:left w:w="108" w:type="dxa"/>
          <w:bottom w:w="0" w:type="dxa"/>
          <w:right w:w="108" w:type="dxa"/>
        </w:tblCellMar>
      </w:tblPr>
      <w:tblGrid>
        <w:gridCol w:w="3008"/>
        <w:gridCol w:w="1257"/>
        <w:gridCol w:w="1257"/>
        <w:gridCol w:w="1258"/>
        <w:gridCol w:w="1250"/>
      </w:tblGrid>
      <w:tr w14:paraId="5F5864D0">
        <w:tblPrEx>
          <w:tblCellMar>
            <w:top w:w="0" w:type="dxa"/>
            <w:left w:w="108" w:type="dxa"/>
            <w:bottom w:w="0" w:type="dxa"/>
            <w:right w:w="108" w:type="dxa"/>
          </w:tblCellMar>
        </w:tblPrEx>
        <w:trPr>
          <w:trHeight w:val="454" w:hRule="atLeast"/>
        </w:trPr>
        <w:tc>
          <w:tcPr>
            <w:tcW w:w="1873" w:type="pct"/>
            <w:tcBorders>
              <w:top w:val="nil"/>
              <w:left w:val="nil"/>
              <w:bottom w:val="single" w:color="auto" w:sz="4" w:space="0"/>
              <w:right w:val="nil"/>
            </w:tcBorders>
            <w:shd w:val="clear" w:color="auto" w:fill="auto"/>
            <w:noWrap/>
            <w:vAlign w:val="center"/>
          </w:tcPr>
          <w:p w14:paraId="1D7453FB">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783" w:type="pct"/>
            <w:tcBorders>
              <w:top w:val="nil"/>
              <w:left w:val="nil"/>
              <w:bottom w:val="single" w:color="auto" w:sz="4" w:space="0"/>
              <w:right w:val="nil"/>
            </w:tcBorders>
            <w:shd w:val="clear" w:color="auto" w:fill="auto"/>
            <w:vAlign w:val="center"/>
          </w:tcPr>
          <w:p w14:paraId="7A3EAF0D">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početna vrijednost </w:t>
            </w:r>
          </w:p>
        </w:tc>
        <w:tc>
          <w:tcPr>
            <w:tcW w:w="783" w:type="pct"/>
            <w:tcBorders>
              <w:top w:val="nil"/>
              <w:left w:val="nil"/>
              <w:bottom w:val="single" w:color="auto" w:sz="4" w:space="0"/>
              <w:right w:val="nil"/>
            </w:tcBorders>
            <w:shd w:val="clear" w:color="auto" w:fill="auto"/>
            <w:vAlign w:val="center"/>
          </w:tcPr>
          <w:p w14:paraId="20B34BEF">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561" w:type="pct"/>
            <w:gridSpan w:val="2"/>
            <w:tcBorders>
              <w:top w:val="nil"/>
              <w:left w:val="nil"/>
              <w:bottom w:val="single" w:color="auto" w:sz="4" w:space="0"/>
              <w:right w:val="nil"/>
            </w:tcBorders>
            <w:shd w:val="clear" w:color="auto" w:fill="auto"/>
            <w:vAlign w:val="center"/>
          </w:tcPr>
          <w:p w14:paraId="4448F63D">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18EFEB89">
        <w:tblPrEx>
          <w:tblCellMar>
            <w:top w:w="0" w:type="dxa"/>
            <w:left w:w="108" w:type="dxa"/>
            <w:bottom w:w="0" w:type="dxa"/>
            <w:right w:w="108" w:type="dxa"/>
          </w:tblCellMar>
        </w:tblPrEx>
        <w:trPr>
          <w:trHeight w:val="454" w:hRule="atLeast"/>
        </w:trPr>
        <w:tc>
          <w:tcPr>
            <w:tcW w:w="1873" w:type="pct"/>
            <w:tcBorders>
              <w:top w:val="single" w:color="auto" w:sz="4" w:space="0"/>
              <w:left w:val="nil"/>
              <w:bottom w:val="single" w:color="auto" w:sz="4" w:space="0"/>
              <w:right w:val="nil"/>
            </w:tcBorders>
            <w:shd w:val="clear" w:color="auto" w:fill="auto"/>
            <w:vAlign w:val="center"/>
          </w:tcPr>
          <w:p w14:paraId="72CEF410">
            <w:pPr>
              <w:spacing w:line="276" w:lineRule="auto"/>
              <w:rPr>
                <w:rFonts w:ascii="Arial" w:hAnsi="Arial" w:cs="Arial"/>
                <w:color w:val="000000"/>
                <w:sz w:val="18"/>
                <w:szCs w:val="18"/>
              </w:rPr>
            </w:pPr>
            <w:r>
              <w:rPr>
                <w:rFonts w:ascii="Arial" w:hAnsi="Arial" w:cs="Arial"/>
                <w:color w:val="000000"/>
                <w:sz w:val="18"/>
                <w:szCs w:val="18"/>
              </w:rPr>
              <w:t>Broj učenika koji sudjeluju u projektu Zavičajna nastava (poticanje suradnje među učenicima, inovativnosti, kreativnosti, poduzetništva, korištenje IT tehnologije itd)</w:t>
            </w:r>
          </w:p>
        </w:tc>
        <w:tc>
          <w:tcPr>
            <w:tcW w:w="783" w:type="pct"/>
            <w:tcBorders>
              <w:top w:val="single" w:color="auto" w:sz="4" w:space="0"/>
              <w:left w:val="nil"/>
              <w:bottom w:val="single" w:color="auto" w:sz="4" w:space="0"/>
              <w:right w:val="nil"/>
            </w:tcBorders>
            <w:shd w:val="clear" w:color="auto" w:fill="auto"/>
            <w:noWrap/>
            <w:vAlign w:val="center"/>
          </w:tcPr>
          <w:p w14:paraId="325EB768">
            <w:pPr>
              <w:spacing w:line="276" w:lineRule="auto"/>
              <w:jc w:val="right"/>
              <w:rPr>
                <w:rFonts w:hint="default" w:ascii="Arial" w:hAnsi="Arial" w:cs="Arial"/>
                <w:color w:val="000000"/>
                <w:sz w:val="18"/>
                <w:szCs w:val="18"/>
                <w:lang w:val="hr-HR"/>
              </w:rPr>
            </w:pPr>
            <w:r>
              <w:rPr>
                <w:rFonts w:hint="default" w:ascii="Arial" w:hAnsi="Arial" w:cs="Arial"/>
                <w:color w:val="000000"/>
                <w:sz w:val="18"/>
                <w:szCs w:val="18"/>
                <w:lang w:val="hr-HR"/>
              </w:rPr>
              <w:t>139</w:t>
            </w:r>
          </w:p>
        </w:tc>
        <w:tc>
          <w:tcPr>
            <w:tcW w:w="783" w:type="pct"/>
            <w:tcBorders>
              <w:top w:val="single" w:color="auto" w:sz="4" w:space="0"/>
              <w:left w:val="nil"/>
              <w:bottom w:val="single" w:color="auto" w:sz="4" w:space="0"/>
              <w:right w:val="nil"/>
            </w:tcBorders>
            <w:shd w:val="clear" w:color="auto" w:fill="auto"/>
            <w:noWrap/>
            <w:vAlign w:val="center"/>
          </w:tcPr>
          <w:p w14:paraId="170A0DEF">
            <w:pPr>
              <w:spacing w:line="276" w:lineRule="auto"/>
              <w:jc w:val="right"/>
              <w:rPr>
                <w:rFonts w:ascii="Arial" w:hAnsi="Arial" w:cs="Arial"/>
                <w:sz w:val="18"/>
                <w:szCs w:val="18"/>
              </w:rPr>
            </w:pPr>
            <w:r>
              <w:rPr>
                <w:rFonts w:hint="default" w:ascii="Arial" w:hAnsi="Arial" w:cs="Arial"/>
                <w:sz w:val="18"/>
                <w:szCs w:val="18"/>
                <w:lang w:val="hr-HR"/>
              </w:rPr>
              <w:t>139</w:t>
            </w:r>
          </w:p>
        </w:tc>
        <w:tc>
          <w:tcPr>
            <w:tcW w:w="783" w:type="pct"/>
            <w:tcBorders>
              <w:top w:val="single" w:color="auto" w:sz="4" w:space="0"/>
              <w:left w:val="nil"/>
              <w:bottom w:val="single" w:color="auto" w:sz="4" w:space="0"/>
              <w:right w:val="nil"/>
            </w:tcBorders>
            <w:shd w:val="clear" w:color="auto" w:fill="auto"/>
            <w:noWrap/>
            <w:vAlign w:val="center"/>
          </w:tcPr>
          <w:p w14:paraId="0FA1699D">
            <w:pPr>
              <w:spacing w:line="276" w:lineRule="auto"/>
              <w:jc w:val="right"/>
              <w:rPr>
                <w:rFonts w:ascii="Arial" w:hAnsi="Arial" w:cs="Arial"/>
                <w:sz w:val="18"/>
                <w:szCs w:val="18"/>
              </w:rPr>
            </w:pPr>
          </w:p>
        </w:tc>
        <w:tc>
          <w:tcPr>
            <w:tcW w:w="778" w:type="pct"/>
            <w:tcBorders>
              <w:top w:val="single" w:color="auto" w:sz="4" w:space="0"/>
              <w:left w:val="nil"/>
              <w:bottom w:val="single" w:color="auto" w:sz="4" w:space="0"/>
              <w:right w:val="nil"/>
            </w:tcBorders>
            <w:shd w:val="clear" w:color="auto" w:fill="auto"/>
            <w:noWrap/>
            <w:vAlign w:val="center"/>
          </w:tcPr>
          <w:p w14:paraId="275D1E25">
            <w:pPr>
              <w:spacing w:line="276" w:lineRule="auto"/>
              <w:jc w:val="right"/>
              <w:rPr>
                <w:rFonts w:hint="default" w:ascii="Arial" w:hAnsi="Arial" w:cs="Arial"/>
                <w:sz w:val="18"/>
                <w:szCs w:val="18"/>
                <w:lang w:val="hr-HR"/>
              </w:rPr>
            </w:pPr>
            <w:r>
              <w:rPr>
                <w:rFonts w:hint="default" w:ascii="Arial" w:hAnsi="Arial" w:cs="Arial"/>
                <w:sz w:val="18"/>
                <w:szCs w:val="18"/>
                <w:lang w:val="hr-HR"/>
              </w:rPr>
              <w:t>139</w:t>
            </w:r>
          </w:p>
        </w:tc>
      </w:tr>
    </w:tbl>
    <w:p w14:paraId="42B9CE0A">
      <w:pPr>
        <w:spacing w:line="276" w:lineRule="auto"/>
        <w:jc w:val="both"/>
        <w:rPr>
          <w:rFonts w:ascii="Arial" w:hAnsi="Arial" w:cs="Arial"/>
          <w:b/>
          <w:bCs/>
        </w:rPr>
      </w:pPr>
    </w:p>
    <w:p w14:paraId="3D08CF6F">
      <w:pPr>
        <w:pStyle w:val="6"/>
        <w:numPr>
          <w:ilvl w:val="0"/>
          <w:numId w:val="2"/>
        </w:numPr>
        <w:spacing w:after="0" w:line="276" w:lineRule="auto"/>
        <w:jc w:val="both"/>
        <w:rPr>
          <w:rFonts w:ascii="Arial" w:hAnsi="Arial" w:cs="Arial"/>
          <w:b/>
          <w:bCs/>
        </w:rPr>
      </w:pPr>
      <w:r>
        <w:rPr>
          <w:rFonts w:ascii="Arial" w:hAnsi="Arial" w:cs="Arial"/>
          <w:b/>
          <w:bCs/>
        </w:rPr>
        <w:t>PROGRAM 2401: INVESTICIJSKO ODRŽAVANJE OSNOVNIH ŠKOLA</w:t>
      </w:r>
    </w:p>
    <w:p w14:paraId="1C9DEF4B">
      <w:pPr>
        <w:spacing w:line="276" w:lineRule="auto"/>
        <w:jc w:val="both"/>
        <w:rPr>
          <w:rFonts w:ascii="Arial" w:hAnsi="Arial" w:cs="Arial"/>
          <w:bCs/>
        </w:rPr>
      </w:pPr>
    </w:p>
    <w:p w14:paraId="221FE2A1">
      <w:pPr>
        <w:pStyle w:val="6"/>
        <w:numPr>
          <w:ilvl w:val="1"/>
          <w:numId w:val="2"/>
        </w:numPr>
        <w:spacing w:after="0" w:line="276" w:lineRule="auto"/>
        <w:jc w:val="both"/>
        <w:rPr>
          <w:rFonts w:ascii="Arial" w:hAnsi="Arial" w:cs="Arial"/>
          <w:bCs/>
        </w:rPr>
      </w:pPr>
      <w:r>
        <w:rPr>
          <w:rFonts w:ascii="Arial" w:hAnsi="Arial" w:cs="Arial"/>
          <w:bCs/>
        </w:rPr>
        <w:t>AKTIVNOST A240101: INVESTICIJSKO ODRŽAVANJE OSNOVNIH ŠKOLA</w:t>
      </w:r>
    </w:p>
    <w:p w14:paraId="006357B6">
      <w:pPr>
        <w:spacing w:line="276" w:lineRule="auto"/>
        <w:ind w:left="708"/>
        <w:jc w:val="both"/>
        <w:rPr>
          <w:rFonts w:ascii="Arial" w:hAnsi="Arial" w:cs="Arial"/>
        </w:rPr>
      </w:pPr>
      <w:r>
        <w:rPr>
          <w:rFonts w:ascii="Arial" w:hAnsi="Arial" w:cs="Arial"/>
        </w:rPr>
        <w:t xml:space="preserve">Decentraliziranim sredstvima </w:t>
      </w:r>
      <w:r>
        <w:rPr>
          <w:rFonts w:hint="default" w:ascii="Arial" w:hAnsi="Arial" w:cs="Arial"/>
          <w:lang w:val="hr-HR"/>
        </w:rPr>
        <w:t xml:space="preserve">i sredstvima iznad standarda </w:t>
      </w:r>
      <w:r>
        <w:rPr>
          <w:rFonts w:ascii="Arial" w:hAnsi="Arial" w:cs="Arial"/>
        </w:rPr>
        <w:t>iz proračuna IŽ financira se investicijsko i tekuće održavanje škola.</w:t>
      </w:r>
    </w:p>
    <w:p w14:paraId="703AAB93">
      <w:pPr>
        <w:spacing w:line="276" w:lineRule="auto"/>
        <w:jc w:val="both"/>
        <w:rPr>
          <w:rFonts w:ascii="Arial" w:hAnsi="Arial" w:cs="Arial"/>
        </w:rPr>
      </w:pPr>
      <w:r>
        <w:rPr>
          <w:rFonts w:ascii="Arial" w:hAnsi="Arial" w:cs="Arial"/>
        </w:rPr>
        <w:t>CILJ USPJEŠNOSTI (mjere iz Provedbenog programa IŽ 2022-2025)</w:t>
      </w:r>
    </w:p>
    <w:p w14:paraId="079FF506">
      <w:pPr>
        <w:spacing w:line="276" w:lineRule="auto"/>
        <w:jc w:val="both"/>
        <w:rPr>
          <w:rFonts w:ascii="Arial" w:hAnsi="Arial" w:cs="Arial"/>
        </w:rPr>
      </w:pPr>
      <w:r>
        <w:rPr>
          <w:rFonts w:ascii="Arial" w:hAnsi="Arial" w:cs="Arial"/>
        </w:rPr>
        <w:t>2.1.1. Izgradnja, rekonstrukcija, dogradnja i opremanje osnovnih i srednjih škola, te učeničkih domova</w:t>
      </w:r>
    </w:p>
    <w:p w14:paraId="292DED00">
      <w:pPr>
        <w:spacing w:line="276" w:lineRule="auto"/>
        <w:jc w:val="both"/>
        <w:rPr>
          <w:rFonts w:ascii="Arial" w:hAnsi="Arial" w:cs="Arial"/>
        </w:rPr>
      </w:pPr>
      <w:r>
        <w:rPr>
          <w:rFonts w:ascii="Arial" w:hAnsi="Arial" w:cs="Arial"/>
        </w:rPr>
        <w:t>Cilj je ostvaren</w:t>
      </w:r>
      <w:r>
        <w:rPr>
          <w:rFonts w:hint="default" w:ascii="Arial" w:hAnsi="Arial" w:cs="Arial"/>
          <w:lang w:val="hr-HR"/>
        </w:rPr>
        <w:t>.(</w:t>
      </w:r>
      <w:r>
        <w:rPr>
          <w:rFonts w:ascii="Arial" w:hAnsi="Arial" w:cs="Arial"/>
        </w:rPr>
        <w:t xml:space="preserve"> </w:t>
      </w:r>
      <w:r>
        <w:rPr>
          <w:rFonts w:hint="default" w:ascii="Arial" w:hAnsi="Arial" w:cs="Arial"/>
          <w:lang w:val="hr-HR"/>
        </w:rPr>
        <w:t>uređeno je unutarnje igralište te uspješno izvršeno tekuće i investicijsko održavanje</w:t>
      </w:r>
      <w:r>
        <w:rPr>
          <w:rFonts w:ascii="Arial" w:hAnsi="Arial" w:cs="Arial"/>
        </w:rPr>
        <w:t>).</w:t>
      </w:r>
    </w:p>
    <w:p w14:paraId="53F027C9">
      <w:pPr>
        <w:spacing w:line="276" w:lineRule="auto"/>
        <w:jc w:val="both"/>
        <w:rPr>
          <w:rFonts w:ascii="Arial" w:hAnsi="Arial" w:cs="Arial"/>
        </w:rPr>
      </w:pPr>
      <w:r>
        <w:rPr>
          <w:rFonts w:ascii="Arial" w:hAnsi="Arial" w:cs="Arial"/>
        </w:rPr>
        <w:t>POKAZATELJ USPJEŠNOSTI</w:t>
      </w:r>
    </w:p>
    <w:tbl>
      <w:tblPr>
        <w:tblStyle w:val="3"/>
        <w:tblW w:w="4301" w:type="pct"/>
        <w:tblInd w:w="0" w:type="dxa"/>
        <w:tblLayout w:type="autofit"/>
        <w:tblCellMar>
          <w:top w:w="0" w:type="dxa"/>
          <w:left w:w="108" w:type="dxa"/>
          <w:bottom w:w="0" w:type="dxa"/>
          <w:right w:w="108" w:type="dxa"/>
        </w:tblCellMar>
      </w:tblPr>
      <w:tblGrid>
        <w:gridCol w:w="2797"/>
        <w:gridCol w:w="1299"/>
        <w:gridCol w:w="1298"/>
        <w:gridCol w:w="1298"/>
        <w:gridCol w:w="1298"/>
      </w:tblGrid>
      <w:tr w14:paraId="55C050F6">
        <w:tblPrEx>
          <w:tblCellMar>
            <w:top w:w="0" w:type="dxa"/>
            <w:left w:w="108" w:type="dxa"/>
            <w:bottom w:w="0" w:type="dxa"/>
            <w:right w:w="108" w:type="dxa"/>
          </w:tblCellMar>
        </w:tblPrEx>
        <w:trPr>
          <w:trHeight w:val="624" w:hRule="atLeast"/>
        </w:trPr>
        <w:tc>
          <w:tcPr>
            <w:tcW w:w="1751" w:type="pct"/>
            <w:tcBorders>
              <w:top w:val="nil"/>
              <w:left w:val="nil"/>
              <w:bottom w:val="single" w:color="auto" w:sz="4" w:space="0"/>
              <w:right w:val="nil"/>
            </w:tcBorders>
            <w:shd w:val="clear" w:color="auto" w:fill="auto"/>
            <w:noWrap/>
            <w:vAlign w:val="center"/>
          </w:tcPr>
          <w:p w14:paraId="2CD3CBF1">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813" w:type="pct"/>
            <w:tcBorders>
              <w:top w:val="nil"/>
              <w:left w:val="nil"/>
              <w:bottom w:val="single" w:color="auto" w:sz="4" w:space="0"/>
              <w:right w:val="nil"/>
            </w:tcBorders>
            <w:shd w:val="clear" w:color="auto" w:fill="auto"/>
            <w:vAlign w:val="center"/>
          </w:tcPr>
          <w:p w14:paraId="139A5D0C">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početna vrijednost </w:t>
            </w:r>
          </w:p>
          <w:p w14:paraId="79D71BF7">
            <w:pPr>
              <w:spacing w:line="276" w:lineRule="auto"/>
              <w:jc w:val="center"/>
              <w:rPr>
                <w:rFonts w:ascii="Arial" w:hAnsi="Arial" w:cs="Arial"/>
                <w:b/>
                <w:bCs/>
                <w:color w:val="000000"/>
                <w:sz w:val="18"/>
                <w:szCs w:val="18"/>
              </w:rPr>
            </w:pPr>
            <w:r>
              <w:rPr>
                <w:rFonts w:ascii="Arial" w:hAnsi="Arial" w:cs="Arial"/>
                <w:b/>
                <w:bCs/>
                <w:color w:val="000000"/>
                <w:sz w:val="18"/>
                <w:szCs w:val="18"/>
              </w:rPr>
              <w:t>(</w:t>
            </w:r>
            <w:r>
              <w:rPr>
                <w:rFonts w:ascii="Arial" w:hAnsi="Arial" w:cs="Arial"/>
                <w:b/>
                <w:bCs/>
                <w:color w:val="000000"/>
                <w:sz w:val="18"/>
                <w:szCs w:val="18"/>
                <w:vertAlign w:val="superscript"/>
              </w:rPr>
              <w:t>m2</w:t>
            </w:r>
            <w:r>
              <w:rPr>
                <w:rFonts w:ascii="Arial" w:hAnsi="Arial" w:cs="Arial"/>
                <w:b/>
                <w:bCs/>
                <w:color w:val="000000"/>
                <w:sz w:val="18"/>
                <w:szCs w:val="18"/>
              </w:rPr>
              <w:t>)</w:t>
            </w:r>
          </w:p>
        </w:tc>
        <w:tc>
          <w:tcPr>
            <w:tcW w:w="812" w:type="pct"/>
            <w:tcBorders>
              <w:top w:val="nil"/>
              <w:left w:val="nil"/>
              <w:bottom w:val="single" w:color="auto" w:sz="4" w:space="0"/>
              <w:right w:val="nil"/>
            </w:tcBorders>
            <w:shd w:val="clear" w:color="auto" w:fill="auto"/>
            <w:vAlign w:val="center"/>
          </w:tcPr>
          <w:p w14:paraId="48F7CB9C">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624" w:type="pct"/>
            <w:gridSpan w:val="2"/>
            <w:tcBorders>
              <w:top w:val="nil"/>
              <w:left w:val="nil"/>
              <w:bottom w:val="single" w:color="auto" w:sz="4" w:space="0"/>
              <w:right w:val="nil"/>
            </w:tcBorders>
            <w:shd w:val="clear" w:color="auto" w:fill="auto"/>
            <w:vAlign w:val="center"/>
          </w:tcPr>
          <w:p w14:paraId="0264BC43">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7CAF6FE4">
        <w:tblPrEx>
          <w:tblCellMar>
            <w:top w:w="0" w:type="dxa"/>
            <w:left w:w="108" w:type="dxa"/>
            <w:bottom w:w="0" w:type="dxa"/>
            <w:right w:w="108" w:type="dxa"/>
          </w:tblCellMar>
        </w:tblPrEx>
        <w:trPr>
          <w:trHeight w:val="624" w:hRule="atLeast"/>
        </w:trPr>
        <w:tc>
          <w:tcPr>
            <w:tcW w:w="1751" w:type="pct"/>
            <w:tcBorders>
              <w:top w:val="nil"/>
              <w:left w:val="nil"/>
              <w:bottom w:val="single" w:color="auto" w:sz="4" w:space="0"/>
              <w:right w:val="nil"/>
            </w:tcBorders>
            <w:shd w:val="clear" w:color="auto" w:fill="auto"/>
            <w:vAlign w:val="center"/>
          </w:tcPr>
          <w:p w14:paraId="5EBBE630">
            <w:pPr>
              <w:spacing w:line="276" w:lineRule="auto"/>
              <w:rPr>
                <w:rFonts w:ascii="Arial" w:hAnsi="Arial" w:cs="Arial"/>
                <w:color w:val="000000"/>
                <w:sz w:val="18"/>
                <w:szCs w:val="18"/>
              </w:rPr>
            </w:pPr>
            <w:r>
              <w:rPr>
                <w:rFonts w:ascii="Arial" w:hAnsi="Arial" w:cs="Arial"/>
                <w:color w:val="000000"/>
                <w:sz w:val="18"/>
                <w:szCs w:val="18"/>
              </w:rPr>
              <w:t>Površina rekonstruiranih, adaptiranih i/ili saniranih dijelova zgrade OŠ</w:t>
            </w:r>
          </w:p>
        </w:tc>
        <w:tc>
          <w:tcPr>
            <w:tcW w:w="813" w:type="pct"/>
            <w:tcBorders>
              <w:top w:val="nil"/>
              <w:left w:val="nil"/>
              <w:bottom w:val="single" w:color="auto" w:sz="4" w:space="0"/>
              <w:right w:val="nil"/>
            </w:tcBorders>
            <w:shd w:val="clear" w:color="auto" w:fill="auto"/>
            <w:noWrap/>
            <w:vAlign w:val="center"/>
          </w:tcPr>
          <w:p w14:paraId="0C91FA52">
            <w:pPr>
              <w:spacing w:line="276" w:lineRule="auto"/>
              <w:jc w:val="right"/>
              <w:rPr>
                <w:rFonts w:ascii="Arial" w:hAnsi="Arial" w:cs="Arial"/>
                <w:sz w:val="18"/>
                <w:szCs w:val="18"/>
              </w:rPr>
            </w:pPr>
            <w:r>
              <w:rPr>
                <w:rFonts w:hint="default" w:ascii="Arial" w:hAnsi="Arial" w:cs="Arial"/>
                <w:sz w:val="18"/>
                <w:szCs w:val="18"/>
                <w:lang w:val="hr-HR"/>
              </w:rPr>
              <w:t>6</w:t>
            </w:r>
            <w:r>
              <w:rPr>
                <w:rFonts w:ascii="Arial" w:hAnsi="Arial" w:cs="Arial"/>
                <w:sz w:val="18"/>
                <w:szCs w:val="18"/>
              </w:rPr>
              <w:t>5</w:t>
            </w:r>
          </w:p>
        </w:tc>
        <w:tc>
          <w:tcPr>
            <w:tcW w:w="812" w:type="pct"/>
            <w:tcBorders>
              <w:top w:val="nil"/>
              <w:left w:val="nil"/>
              <w:bottom w:val="single" w:color="auto" w:sz="4" w:space="0"/>
              <w:right w:val="nil"/>
            </w:tcBorders>
            <w:shd w:val="clear" w:color="auto" w:fill="auto"/>
            <w:noWrap/>
            <w:vAlign w:val="center"/>
          </w:tcPr>
          <w:p w14:paraId="317CF639">
            <w:pPr>
              <w:spacing w:line="276" w:lineRule="auto"/>
              <w:jc w:val="right"/>
              <w:rPr>
                <w:rFonts w:ascii="Arial" w:hAnsi="Arial" w:cs="Arial"/>
                <w:sz w:val="18"/>
                <w:szCs w:val="18"/>
              </w:rPr>
            </w:pPr>
            <w:r>
              <w:rPr>
                <w:rFonts w:hint="default" w:ascii="Arial" w:hAnsi="Arial" w:cs="Arial"/>
                <w:sz w:val="18"/>
                <w:szCs w:val="18"/>
                <w:lang w:val="hr-HR"/>
              </w:rPr>
              <w:t>6</w:t>
            </w:r>
            <w:r>
              <w:rPr>
                <w:rFonts w:ascii="Arial" w:hAnsi="Arial" w:cs="Arial"/>
                <w:sz w:val="18"/>
                <w:szCs w:val="18"/>
              </w:rPr>
              <w:t>5</w:t>
            </w:r>
          </w:p>
        </w:tc>
        <w:tc>
          <w:tcPr>
            <w:tcW w:w="812" w:type="pct"/>
            <w:tcBorders>
              <w:top w:val="nil"/>
              <w:left w:val="nil"/>
              <w:bottom w:val="single" w:color="auto" w:sz="4" w:space="0"/>
              <w:right w:val="nil"/>
            </w:tcBorders>
            <w:shd w:val="clear" w:color="auto" w:fill="auto"/>
            <w:noWrap/>
            <w:vAlign w:val="center"/>
          </w:tcPr>
          <w:p w14:paraId="5605878D">
            <w:pPr>
              <w:spacing w:line="276" w:lineRule="auto"/>
              <w:jc w:val="right"/>
              <w:rPr>
                <w:rFonts w:ascii="Arial" w:hAnsi="Arial" w:cs="Arial"/>
                <w:sz w:val="18"/>
                <w:szCs w:val="18"/>
              </w:rPr>
            </w:pPr>
          </w:p>
          <w:p w14:paraId="3B75869C">
            <w:pPr>
              <w:spacing w:line="276" w:lineRule="auto"/>
              <w:jc w:val="right"/>
              <w:rPr>
                <w:rFonts w:ascii="Arial" w:hAnsi="Arial" w:cs="Arial"/>
                <w:sz w:val="18"/>
                <w:szCs w:val="18"/>
              </w:rPr>
            </w:pPr>
          </w:p>
        </w:tc>
        <w:tc>
          <w:tcPr>
            <w:tcW w:w="811" w:type="pct"/>
            <w:tcBorders>
              <w:top w:val="nil"/>
              <w:left w:val="nil"/>
              <w:bottom w:val="single" w:color="auto" w:sz="4" w:space="0"/>
              <w:right w:val="nil"/>
            </w:tcBorders>
            <w:shd w:val="clear" w:color="auto" w:fill="auto"/>
            <w:noWrap/>
            <w:vAlign w:val="center"/>
          </w:tcPr>
          <w:p w14:paraId="229457BE">
            <w:pPr>
              <w:spacing w:line="276" w:lineRule="auto"/>
              <w:jc w:val="right"/>
              <w:rPr>
                <w:rFonts w:hint="default" w:ascii="Arial" w:hAnsi="Arial" w:cs="Arial"/>
                <w:sz w:val="18"/>
                <w:szCs w:val="18"/>
                <w:lang w:val="hr-HR"/>
              </w:rPr>
            </w:pPr>
            <w:r>
              <w:rPr>
                <w:rFonts w:hint="default" w:ascii="Arial" w:hAnsi="Arial" w:cs="Arial"/>
                <w:color w:val="auto"/>
                <w:sz w:val="18"/>
                <w:szCs w:val="18"/>
                <w:lang w:val="hr-HR"/>
              </w:rPr>
              <w:t>65</w:t>
            </w:r>
          </w:p>
        </w:tc>
      </w:tr>
    </w:tbl>
    <w:p w14:paraId="572E4EA1">
      <w:pPr>
        <w:spacing w:line="276" w:lineRule="auto"/>
        <w:jc w:val="both"/>
        <w:rPr>
          <w:rFonts w:ascii="Arial" w:hAnsi="Arial" w:cs="Arial"/>
          <w:b/>
          <w:bCs/>
        </w:rPr>
      </w:pPr>
    </w:p>
    <w:p w14:paraId="110BE693">
      <w:pPr>
        <w:spacing w:line="276" w:lineRule="auto"/>
        <w:jc w:val="both"/>
        <w:rPr>
          <w:rFonts w:hint="default" w:ascii="Arial" w:hAnsi="Arial" w:cs="Arial"/>
          <w:lang w:val="hr-HR"/>
        </w:rPr>
      </w:pPr>
    </w:p>
    <w:p w14:paraId="3DA4E7B3">
      <w:pPr>
        <w:pStyle w:val="6"/>
        <w:numPr>
          <w:ilvl w:val="0"/>
          <w:numId w:val="2"/>
        </w:numPr>
        <w:spacing w:after="0" w:line="276" w:lineRule="auto"/>
        <w:jc w:val="both"/>
        <w:rPr>
          <w:rFonts w:ascii="Arial" w:hAnsi="Arial" w:cs="Arial"/>
          <w:b/>
          <w:bCs/>
        </w:rPr>
      </w:pPr>
      <w:r>
        <w:rPr>
          <w:rFonts w:hint="default" w:ascii="Arial" w:hAnsi="Arial" w:cs="Arial"/>
          <w:b/>
          <w:bCs/>
          <w:lang w:val="hr-HR"/>
        </w:rPr>
        <w:t>PROGRAM 2403: KAPITALNA ULAGANJA U OŠ</w:t>
      </w:r>
    </w:p>
    <w:p w14:paraId="64953202">
      <w:pPr>
        <w:pStyle w:val="6"/>
        <w:numPr>
          <w:numId w:val="0"/>
        </w:numPr>
        <w:spacing w:after="0" w:line="276" w:lineRule="auto"/>
        <w:ind w:leftChars="0"/>
        <w:jc w:val="both"/>
        <w:rPr>
          <w:rFonts w:ascii="Arial" w:hAnsi="Arial" w:cs="Arial"/>
          <w:b/>
          <w:bCs/>
        </w:rPr>
      </w:pPr>
    </w:p>
    <w:p w14:paraId="3E485943">
      <w:pPr>
        <w:pStyle w:val="6"/>
        <w:numPr>
          <w:numId w:val="0"/>
        </w:numPr>
        <w:spacing w:after="0" w:line="276" w:lineRule="auto"/>
        <w:ind w:leftChars="0"/>
        <w:jc w:val="both"/>
        <w:rPr>
          <w:rFonts w:hint="default" w:ascii="Arial" w:hAnsi="Arial" w:cs="Arial"/>
          <w:b w:val="0"/>
          <w:bCs w:val="0"/>
          <w:lang w:val="hr-HR"/>
        </w:rPr>
      </w:pPr>
      <w:r>
        <w:rPr>
          <w:rFonts w:hint="default" w:ascii="Arial" w:hAnsi="Arial" w:cs="Arial"/>
          <w:b w:val="0"/>
          <w:bCs w:val="0"/>
          <w:lang w:val="hr-HR"/>
        </w:rPr>
        <w:t xml:space="preserve">5.1     AKTIVNOST: 240311 ULAGANJA U OŠ </w:t>
      </w:r>
    </w:p>
    <w:p w14:paraId="6636B248">
      <w:pPr>
        <w:pStyle w:val="6"/>
        <w:numPr>
          <w:numId w:val="0"/>
        </w:numPr>
        <w:spacing w:after="0" w:line="276" w:lineRule="auto"/>
        <w:ind w:left="110" w:leftChars="0" w:hanging="110" w:hangingChars="50"/>
        <w:jc w:val="both"/>
        <w:rPr>
          <w:rFonts w:hint="default" w:ascii="Arial" w:hAnsi="Arial" w:cs="Arial"/>
          <w:b w:val="0"/>
          <w:bCs w:val="0"/>
          <w:lang w:val="hr-HR"/>
        </w:rPr>
      </w:pPr>
      <w:r>
        <w:rPr>
          <w:rFonts w:hint="default" w:ascii="Arial" w:hAnsi="Arial" w:cs="Arial"/>
          <w:b w:val="0"/>
          <w:bCs w:val="0"/>
          <w:lang w:val="hr-HR"/>
        </w:rPr>
        <w:tab/>
        <w:t/>
      </w:r>
      <w:r>
        <w:rPr>
          <w:rFonts w:hint="default" w:ascii="Arial" w:hAnsi="Arial" w:cs="Arial"/>
          <w:b w:val="0"/>
          <w:bCs w:val="0"/>
          <w:lang w:val="hr-HR"/>
        </w:rPr>
        <w:tab/>
        <w:t xml:space="preserve">Aktivnost ulaganja u OŠ odnosi se na izgradnju nadstrešnice iznad ulaska u kuhinju </w:t>
      </w:r>
      <w:r>
        <w:rPr>
          <w:rFonts w:hint="default" w:ascii="Arial" w:hAnsi="Arial" w:cs="Arial"/>
          <w:b w:val="0"/>
          <w:bCs w:val="0"/>
          <w:lang w:val="hr-HR"/>
        </w:rPr>
        <w:tab/>
        <w:t xml:space="preserve">te izgradnju nadstrešnice u Učionici u masliniku. Aktivnost je financirana sredstvima  </w:t>
      </w:r>
      <w:r>
        <w:rPr>
          <w:rFonts w:hint="default" w:ascii="Arial" w:hAnsi="Arial" w:cs="Arial"/>
          <w:b w:val="0"/>
          <w:bCs w:val="0"/>
          <w:lang w:val="hr-HR"/>
        </w:rPr>
        <w:tab/>
        <w:t>nadležnog proračuna te sredtvima Općine Barban</w:t>
      </w:r>
    </w:p>
    <w:p w14:paraId="70B50BDA">
      <w:pPr>
        <w:pStyle w:val="6"/>
        <w:numPr>
          <w:numId w:val="0"/>
        </w:numPr>
        <w:spacing w:after="0" w:line="276" w:lineRule="auto"/>
        <w:ind w:left="110" w:leftChars="0" w:hanging="110" w:hangingChars="50"/>
        <w:jc w:val="both"/>
        <w:rPr>
          <w:rFonts w:hint="default" w:ascii="Arial" w:hAnsi="Arial" w:cs="Arial"/>
          <w:b w:val="0"/>
          <w:bCs w:val="0"/>
          <w:lang w:val="hr-HR"/>
        </w:rPr>
      </w:pPr>
    </w:p>
    <w:p w14:paraId="424A65B5">
      <w:pPr>
        <w:spacing w:line="276" w:lineRule="auto"/>
        <w:jc w:val="both"/>
        <w:rPr>
          <w:rFonts w:ascii="Arial" w:hAnsi="Arial" w:cs="Arial"/>
        </w:rPr>
      </w:pPr>
      <w:r>
        <w:rPr>
          <w:rFonts w:ascii="Arial" w:hAnsi="Arial" w:cs="Arial"/>
        </w:rPr>
        <w:t>CILJ USPJEŠNOSTI (mjere iz Provedbenog programa IŽ 2022-2025)</w:t>
      </w:r>
    </w:p>
    <w:p w14:paraId="750FAB42">
      <w:pPr>
        <w:spacing w:line="276" w:lineRule="auto"/>
        <w:jc w:val="both"/>
        <w:rPr>
          <w:rFonts w:ascii="Arial" w:hAnsi="Arial" w:cs="Arial"/>
        </w:rPr>
      </w:pPr>
      <w:r>
        <w:rPr>
          <w:rFonts w:ascii="Arial" w:hAnsi="Arial" w:cs="Arial"/>
        </w:rPr>
        <w:t>2.1.1. Izgradnja, rekonstrukcija, dogradnja i opremanje osnovnih i srednjih škola, te učeničkih domova</w:t>
      </w:r>
    </w:p>
    <w:p w14:paraId="4573D27B">
      <w:pPr>
        <w:spacing w:line="276" w:lineRule="auto"/>
        <w:jc w:val="both"/>
        <w:rPr>
          <w:rFonts w:hint="default" w:ascii="Arial" w:hAnsi="Arial" w:cs="Arial"/>
          <w:lang w:val="hr-HR"/>
        </w:rPr>
      </w:pPr>
      <w:r>
        <w:rPr>
          <w:rFonts w:ascii="Arial" w:hAnsi="Arial" w:cs="Arial"/>
        </w:rPr>
        <w:t>Cilj je ostvaren</w:t>
      </w:r>
      <w:r>
        <w:rPr>
          <w:rFonts w:hint="default" w:ascii="Arial" w:hAnsi="Arial" w:cs="Arial"/>
          <w:lang w:val="hr-HR"/>
        </w:rPr>
        <w:t>.P</w:t>
      </w:r>
    </w:p>
    <w:p w14:paraId="627D8A89">
      <w:pPr>
        <w:spacing w:line="276" w:lineRule="auto"/>
        <w:jc w:val="both"/>
        <w:rPr>
          <w:rFonts w:ascii="Arial" w:hAnsi="Arial" w:cs="Arial"/>
        </w:rPr>
      </w:pPr>
      <w:r>
        <w:rPr>
          <w:rFonts w:hint="default" w:ascii="Arial" w:hAnsi="Arial" w:cs="Arial"/>
          <w:lang w:val="hr-HR"/>
        </w:rPr>
        <w:t>P</w:t>
      </w:r>
      <w:r>
        <w:rPr>
          <w:rFonts w:ascii="Arial" w:hAnsi="Arial" w:cs="Arial"/>
        </w:rPr>
        <w:t>OKAZATELJ USPJEŠNOSTI</w:t>
      </w:r>
    </w:p>
    <w:tbl>
      <w:tblPr>
        <w:tblStyle w:val="3"/>
        <w:tblW w:w="4301" w:type="pct"/>
        <w:tblInd w:w="0" w:type="dxa"/>
        <w:tblLayout w:type="autofit"/>
        <w:tblCellMar>
          <w:top w:w="0" w:type="dxa"/>
          <w:left w:w="108" w:type="dxa"/>
          <w:bottom w:w="0" w:type="dxa"/>
          <w:right w:w="108" w:type="dxa"/>
        </w:tblCellMar>
      </w:tblPr>
      <w:tblGrid>
        <w:gridCol w:w="2797"/>
        <w:gridCol w:w="1299"/>
        <w:gridCol w:w="1298"/>
        <w:gridCol w:w="1298"/>
        <w:gridCol w:w="1298"/>
      </w:tblGrid>
      <w:tr w14:paraId="239AE834">
        <w:tblPrEx>
          <w:tblCellMar>
            <w:top w:w="0" w:type="dxa"/>
            <w:left w:w="108" w:type="dxa"/>
            <w:bottom w:w="0" w:type="dxa"/>
            <w:right w:w="108" w:type="dxa"/>
          </w:tblCellMar>
        </w:tblPrEx>
        <w:trPr>
          <w:trHeight w:val="624" w:hRule="atLeast"/>
        </w:trPr>
        <w:tc>
          <w:tcPr>
            <w:tcW w:w="1751" w:type="pct"/>
            <w:tcBorders>
              <w:top w:val="nil"/>
              <w:left w:val="nil"/>
              <w:bottom w:val="single" w:color="auto" w:sz="4" w:space="0"/>
              <w:right w:val="nil"/>
            </w:tcBorders>
            <w:shd w:val="clear" w:color="auto" w:fill="auto"/>
            <w:noWrap/>
            <w:vAlign w:val="center"/>
          </w:tcPr>
          <w:p w14:paraId="5C5D5F68">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813" w:type="pct"/>
            <w:tcBorders>
              <w:top w:val="nil"/>
              <w:left w:val="nil"/>
              <w:bottom w:val="single" w:color="auto" w:sz="4" w:space="0"/>
              <w:right w:val="nil"/>
            </w:tcBorders>
            <w:shd w:val="clear" w:color="auto" w:fill="auto"/>
            <w:vAlign w:val="center"/>
          </w:tcPr>
          <w:p w14:paraId="00EADBB3">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početna vrijednost </w:t>
            </w:r>
          </w:p>
          <w:p w14:paraId="134F503E">
            <w:pPr>
              <w:spacing w:line="276" w:lineRule="auto"/>
              <w:jc w:val="center"/>
              <w:rPr>
                <w:rFonts w:ascii="Arial" w:hAnsi="Arial" w:cs="Arial"/>
                <w:b/>
                <w:bCs/>
                <w:color w:val="000000"/>
                <w:sz w:val="18"/>
                <w:szCs w:val="18"/>
              </w:rPr>
            </w:pPr>
          </w:p>
        </w:tc>
        <w:tc>
          <w:tcPr>
            <w:tcW w:w="812" w:type="pct"/>
            <w:tcBorders>
              <w:top w:val="nil"/>
              <w:left w:val="nil"/>
              <w:bottom w:val="single" w:color="auto" w:sz="4" w:space="0"/>
              <w:right w:val="nil"/>
            </w:tcBorders>
            <w:shd w:val="clear" w:color="auto" w:fill="auto"/>
            <w:vAlign w:val="center"/>
          </w:tcPr>
          <w:p w14:paraId="6BA789FC">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1624" w:type="pct"/>
            <w:gridSpan w:val="2"/>
            <w:tcBorders>
              <w:top w:val="nil"/>
              <w:left w:val="nil"/>
              <w:bottom w:val="single" w:color="auto" w:sz="4" w:space="0"/>
              <w:right w:val="nil"/>
            </w:tcBorders>
            <w:shd w:val="clear" w:color="auto" w:fill="auto"/>
            <w:vAlign w:val="center"/>
          </w:tcPr>
          <w:p w14:paraId="5BD2FAFD">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5406882D">
        <w:tblPrEx>
          <w:tblCellMar>
            <w:top w:w="0" w:type="dxa"/>
            <w:left w:w="108" w:type="dxa"/>
            <w:bottom w:w="0" w:type="dxa"/>
            <w:right w:w="108" w:type="dxa"/>
          </w:tblCellMar>
        </w:tblPrEx>
        <w:trPr>
          <w:trHeight w:val="624" w:hRule="atLeast"/>
        </w:trPr>
        <w:tc>
          <w:tcPr>
            <w:tcW w:w="1751" w:type="pct"/>
            <w:tcBorders>
              <w:top w:val="nil"/>
              <w:left w:val="nil"/>
              <w:bottom w:val="single" w:color="auto" w:sz="4" w:space="0"/>
              <w:right w:val="nil"/>
            </w:tcBorders>
            <w:shd w:val="clear" w:color="auto" w:fill="auto"/>
            <w:vAlign w:val="center"/>
          </w:tcPr>
          <w:p w14:paraId="14AC7B12">
            <w:pPr>
              <w:spacing w:line="276" w:lineRule="auto"/>
              <w:rPr>
                <w:rFonts w:hint="default" w:ascii="Arial" w:hAnsi="Arial" w:cs="Arial"/>
                <w:color w:val="000000"/>
                <w:sz w:val="18"/>
                <w:szCs w:val="18"/>
                <w:lang w:val="hr-HR"/>
              </w:rPr>
            </w:pPr>
            <w:r>
              <w:rPr>
                <w:rFonts w:hint="default" w:ascii="Arial" w:hAnsi="Arial" w:cs="Arial"/>
                <w:color w:val="000000"/>
                <w:sz w:val="18"/>
                <w:szCs w:val="18"/>
                <w:lang w:val="hr-HR"/>
              </w:rPr>
              <w:t>Izgradnja nadstrešnica</w:t>
            </w:r>
          </w:p>
        </w:tc>
        <w:tc>
          <w:tcPr>
            <w:tcW w:w="813" w:type="pct"/>
            <w:tcBorders>
              <w:top w:val="nil"/>
              <w:left w:val="nil"/>
              <w:bottom w:val="single" w:color="auto" w:sz="4" w:space="0"/>
              <w:right w:val="nil"/>
            </w:tcBorders>
            <w:shd w:val="clear" w:color="auto" w:fill="auto"/>
            <w:noWrap/>
            <w:vAlign w:val="center"/>
          </w:tcPr>
          <w:p w14:paraId="59FF9245">
            <w:pPr>
              <w:spacing w:line="276" w:lineRule="auto"/>
              <w:jc w:val="right"/>
              <w:rPr>
                <w:rFonts w:hint="default" w:ascii="Arial" w:hAnsi="Arial" w:cs="Arial"/>
                <w:sz w:val="18"/>
                <w:szCs w:val="18"/>
                <w:lang w:val="hr-HR"/>
              </w:rPr>
            </w:pPr>
            <w:r>
              <w:rPr>
                <w:rFonts w:hint="default" w:ascii="Arial" w:hAnsi="Arial" w:cs="Arial"/>
                <w:sz w:val="18"/>
                <w:szCs w:val="18"/>
                <w:lang w:val="hr-HR"/>
              </w:rPr>
              <w:t>0</w:t>
            </w:r>
          </w:p>
        </w:tc>
        <w:tc>
          <w:tcPr>
            <w:tcW w:w="812" w:type="pct"/>
            <w:tcBorders>
              <w:top w:val="nil"/>
              <w:left w:val="nil"/>
              <w:bottom w:val="single" w:color="auto" w:sz="4" w:space="0"/>
              <w:right w:val="nil"/>
            </w:tcBorders>
            <w:shd w:val="clear" w:color="auto" w:fill="auto"/>
            <w:noWrap/>
            <w:vAlign w:val="center"/>
          </w:tcPr>
          <w:p w14:paraId="36C01DEA">
            <w:pPr>
              <w:spacing w:line="276" w:lineRule="auto"/>
              <w:jc w:val="right"/>
              <w:rPr>
                <w:rFonts w:hint="default" w:ascii="Arial" w:hAnsi="Arial" w:cs="Arial"/>
                <w:sz w:val="18"/>
                <w:szCs w:val="18"/>
                <w:lang w:val="hr-HR"/>
              </w:rPr>
            </w:pPr>
            <w:r>
              <w:rPr>
                <w:rFonts w:hint="default" w:ascii="Arial" w:hAnsi="Arial" w:cs="Arial"/>
                <w:sz w:val="18"/>
                <w:szCs w:val="18"/>
                <w:lang w:val="hr-HR"/>
              </w:rPr>
              <w:t>2</w:t>
            </w:r>
          </w:p>
        </w:tc>
        <w:tc>
          <w:tcPr>
            <w:tcW w:w="812" w:type="pct"/>
            <w:tcBorders>
              <w:top w:val="nil"/>
              <w:left w:val="nil"/>
              <w:bottom w:val="single" w:color="auto" w:sz="4" w:space="0"/>
              <w:right w:val="nil"/>
            </w:tcBorders>
            <w:shd w:val="clear" w:color="auto" w:fill="auto"/>
            <w:noWrap/>
            <w:vAlign w:val="center"/>
          </w:tcPr>
          <w:p w14:paraId="0D27D43A">
            <w:pPr>
              <w:spacing w:line="276" w:lineRule="auto"/>
              <w:jc w:val="right"/>
              <w:rPr>
                <w:rFonts w:ascii="Arial" w:hAnsi="Arial" w:cs="Arial"/>
                <w:sz w:val="18"/>
                <w:szCs w:val="18"/>
              </w:rPr>
            </w:pPr>
          </w:p>
          <w:p w14:paraId="220695AA">
            <w:pPr>
              <w:spacing w:line="276" w:lineRule="auto"/>
              <w:jc w:val="right"/>
              <w:rPr>
                <w:rFonts w:ascii="Arial" w:hAnsi="Arial" w:cs="Arial"/>
                <w:sz w:val="18"/>
                <w:szCs w:val="18"/>
              </w:rPr>
            </w:pPr>
          </w:p>
        </w:tc>
        <w:tc>
          <w:tcPr>
            <w:tcW w:w="811" w:type="pct"/>
            <w:tcBorders>
              <w:top w:val="nil"/>
              <w:left w:val="nil"/>
              <w:bottom w:val="single" w:color="auto" w:sz="4" w:space="0"/>
              <w:right w:val="nil"/>
            </w:tcBorders>
            <w:shd w:val="clear" w:color="auto" w:fill="auto"/>
            <w:noWrap/>
            <w:vAlign w:val="center"/>
          </w:tcPr>
          <w:p w14:paraId="59310AD1">
            <w:pPr>
              <w:spacing w:line="276" w:lineRule="auto"/>
              <w:jc w:val="right"/>
              <w:rPr>
                <w:rFonts w:hint="default" w:ascii="Arial" w:hAnsi="Arial" w:cs="Arial"/>
                <w:sz w:val="18"/>
                <w:szCs w:val="18"/>
                <w:lang w:val="hr-HR"/>
              </w:rPr>
            </w:pPr>
            <w:r>
              <w:rPr>
                <w:rFonts w:hint="default" w:ascii="Arial" w:hAnsi="Arial" w:cs="Arial"/>
                <w:sz w:val="18"/>
                <w:szCs w:val="18"/>
                <w:lang w:val="hr-HR"/>
              </w:rPr>
              <w:t>2</w:t>
            </w:r>
          </w:p>
        </w:tc>
      </w:tr>
    </w:tbl>
    <w:p w14:paraId="55BC9C5C">
      <w:pPr>
        <w:pStyle w:val="6"/>
        <w:numPr>
          <w:numId w:val="0"/>
        </w:numPr>
        <w:spacing w:after="0" w:line="276" w:lineRule="auto"/>
        <w:ind w:leftChars="0"/>
        <w:jc w:val="both"/>
        <w:rPr>
          <w:rFonts w:hint="default" w:ascii="Arial" w:hAnsi="Arial" w:cs="Arial"/>
          <w:b/>
          <w:bCs/>
          <w:lang w:val="hr-HR"/>
        </w:rPr>
      </w:pPr>
    </w:p>
    <w:p w14:paraId="3C3E65DE">
      <w:pPr>
        <w:pStyle w:val="6"/>
        <w:numPr>
          <w:numId w:val="0"/>
        </w:numPr>
        <w:spacing w:after="0" w:line="276" w:lineRule="auto"/>
        <w:ind w:leftChars="0"/>
        <w:jc w:val="both"/>
        <w:rPr>
          <w:rFonts w:hint="default" w:ascii="Arial" w:hAnsi="Arial" w:cs="Arial"/>
          <w:b/>
          <w:bCs/>
          <w:lang w:val="hr-HR"/>
        </w:rPr>
      </w:pPr>
    </w:p>
    <w:p w14:paraId="2870102C">
      <w:pPr>
        <w:pStyle w:val="6"/>
        <w:numPr>
          <w:ilvl w:val="0"/>
          <w:numId w:val="2"/>
        </w:numPr>
        <w:spacing w:after="0" w:line="276" w:lineRule="auto"/>
        <w:jc w:val="both"/>
        <w:rPr>
          <w:rFonts w:ascii="Arial" w:hAnsi="Arial" w:cs="Arial"/>
          <w:b/>
          <w:bCs/>
        </w:rPr>
      </w:pPr>
      <w:r>
        <w:rPr>
          <w:rFonts w:ascii="Arial" w:hAnsi="Arial" w:cs="Arial"/>
          <w:b/>
          <w:bCs/>
        </w:rPr>
        <w:t>PROGRAM 2405: OPREMANJE U OSNOVNIM ŠKOLAMA</w:t>
      </w:r>
    </w:p>
    <w:p w14:paraId="4F1B4F17">
      <w:pPr>
        <w:spacing w:line="276" w:lineRule="auto"/>
        <w:jc w:val="both"/>
        <w:rPr>
          <w:rFonts w:ascii="Arial" w:hAnsi="Arial" w:cs="Arial"/>
          <w:bCs/>
        </w:rPr>
      </w:pPr>
    </w:p>
    <w:p w14:paraId="205C5753">
      <w:pPr>
        <w:pStyle w:val="6"/>
        <w:numPr>
          <w:ilvl w:val="1"/>
          <w:numId w:val="2"/>
        </w:numPr>
        <w:spacing w:after="0" w:line="276" w:lineRule="auto"/>
        <w:jc w:val="both"/>
        <w:rPr>
          <w:rFonts w:ascii="Arial" w:hAnsi="Arial" w:cs="Arial"/>
          <w:bCs/>
        </w:rPr>
      </w:pPr>
      <w:r>
        <w:rPr>
          <w:rFonts w:ascii="Arial" w:hAnsi="Arial" w:cs="Arial"/>
          <w:bCs/>
        </w:rPr>
        <w:t>AKTIVNOST K240501: ŠKOLSKI NAMJEŠTAJ I OPREMA</w:t>
      </w:r>
    </w:p>
    <w:p w14:paraId="109DF7C5">
      <w:pPr>
        <w:pStyle w:val="6"/>
        <w:spacing w:line="276" w:lineRule="auto"/>
        <w:jc w:val="both"/>
        <w:rPr>
          <w:rFonts w:ascii="Arial" w:hAnsi="Arial" w:cs="Arial"/>
          <w:bCs/>
        </w:rPr>
      </w:pPr>
      <w:r>
        <w:rPr>
          <w:rFonts w:ascii="Arial" w:hAnsi="Arial" w:cs="Arial"/>
          <w:bCs/>
        </w:rPr>
        <w:t>Aktivnost opremanja školskim namještajem i ostalom opremom financira se iz više izvora (vlastitim prihodima najma školske sportske dvorane,</w:t>
      </w:r>
      <w:r>
        <w:rPr>
          <w:rFonts w:hint="default" w:ascii="Arial" w:hAnsi="Arial" w:cs="Arial"/>
          <w:bCs/>
          <w:lang w:val="hr-HR"/>
        </w:rPr>
        <w:t xml:space="preserve"> donaci</w:t>
      </w:r>
      <w:r>
        <w:rPr>
          <w:rFonts w:ascii="Arial" w:hAnsi="Arial" w:cs="Arial"/>
          <w:bCs/>
        </w:rPr>
        <w:t xml:space="preserve">jama </w:t>
      </w:r>
      <w:r>
        <w:rPr>
          <w:rFonts w:hint="default" w:ascii="Arial" w:hAnsi="Arial" w:cs="Arial"/>
          <w:bCs/>
          <w:lang w:val="hr-HR"/>
        </w:rPr>
        <w:t>te prihodima Općine Barban.</w:t>
      </w:r>
      <w:r>
        <w:rPr>
          <w:rFonts w:ascii="Arial" w:hAnsi="Arial" w:cs="Arial"/>
          <w:bCs/>
        </w:rPr>
        <w:t xml:space="preserve"> Novim nabavama namještaja, </w:t>
      </w:r>
      <w:r>
        <w:rPr>
          <w:rFonts w:hint="default" w:ascii="Arial" w:hAnsi="Arial" w:cs="Arial"/>
          <w:bCs/>
          <w:lang w:val="hr-HR"/>
        </w:rPr>
        <w:t>računalne opreme</w:t>
      </w:r>
      <w:r>
        <w:rPr>
          <w:rFonts w:ascii="Arial" w:hAnsi="Arial" w:cs="Arial"/>
          <w:bCs/>
        </w:rPr>
        <w:t xml:space="preserve"> i drugih školskih pomagala nastoji se unaprijediti rad škole sudjelovanjem u suvremenim promjenama, poticanjem uvođenja i primjene novih metoda i oblika nastavnoga rada. </w:t>
      </w:r>
    </w:p>
    <w:p w14:paraId="4FA13820">
      <w:pPr>
        <w:pStyle w:val="6"/>
        <w:spacing w:line="276" w:lineRule="auto"/>
        <w:jc w:val="both"/>
        <w:rPr>
          <w:rFonts w:ascii="Arial" w:hAnsi="Arial" w:cs="Arial"/>
          <w:bCs/>
        </w:rPr>
      </w:pPr>
    </w:p>
    <w:p w14:paraId="300307F2">
      <w:pPr>
        <w:pStyle w:val="6"/>
        <w:numPr>
          <w:ilvl w:val="1"/>
          <w:numId w:val="2"/>
        </w:numPr>
        <w:spacing w:after="0" w:line="276" w:lineRule="auto"/>
        <w:jc w:val="both"/>
        <w:rPr>
          <w:rFonts w:ascii="Arial" w:hAnsi="Arial" w:cs="Arial"/>
          <w:bCs/>
        </w:rPr>
      </w:pPr>
      <w:r>
        <w:rPr>
          <w:rFonts w:ascii="Arial" w:hAnsi="Arial" w:cs="Arial"/>
          <w:bCs/>
        </w:rPr>
        <w:t>AKTIVNOST K240502: OPREMANJE KNJIŽNICA</w:t>
      </w:r>
    </w:p>
    <w:p w14:paraId="677CA1C0">
      <w:pPr>
        <w:spacing w:line="276" w:lineRule="auto"/>
        <w:ind w:left="705"/>
        <w:jc w:val="both"/>
        <w:rPr>
          <w:rFonts w:ascii="Arial" w:hAnsi="Arial" w:cs="Arial"/>
          <w:bCs/>
        </w:rPr>
      </w:pPr>
      <w:r>
        <w:rPr>
          <w:rFonts w:ascii="Arial" w:hAnsi="Arial" w:cs="Arial"/>
          <w:bCs/>
        </w:rPr>
        <w:t>Aktivnost opremanja knjižnice obveznom lektirom i ostalim knjižnim fondom financira se nenamjenskim sredstvima osnivača, kao i nadležnog ministarstva.</w:t>
      </w:r>
    </w:p>
    <w:p w14:paraId="64733CC0">
      <w:pPr>
        <w:spacing w:line="276" w:lineRule="auto"/>
        <w:jc w:val="both"/>
        <w:rPr>
          <w:rFonts w:ascii="Arial" w:hAnsi="Arial" w:cs="Arial"/>
        </w:rPr>
      </w:pPr>
      <w:r>
        <w:rPr>
          <w:rFonts w:ascii="Arial" w:hAnsi="Arial" w:cs="Arial"/>
        </w:rPr>
        <w:t>CILJ USPJEŠNOSTI (mjere iz Provedbenog programa IŽ 2022-2025)</w:t>
      </w:r>
    </w:p>
    <w:p w14:paraId="7F439AE2">
      <w:pPr>
        <w:spacing w:line="276" w:lineRule="auto"/>
        <w:jc w:val="both"/>
        <w:rPr>
          <w:rFonts w:ascii="Arial" w:hAnsi="Arial" w:cs="Arial"/>
          <w:bCs/>
        </w:rPr>
      </w:pPr>
      <w:r>
        <w:rPr>
          <w:rFonts w:ascii="Arial" w:hAnsi="Arial" w:cs="Arial"/>
        </w:rPr>
        <w:t xml:space="preserve">2.1.1. Izgradnja, rekonstrukcija, dogradnja i opremanje osnovnih i srednjih škola, te učeničkih domova – za aktivnosti </w:t>
      </w:r>
      <w:r>
        <w:rPr>
          <w:rFonts w:ascii="Arial" w:hAnsi="Arial" w:cs="Arial"/>
          <w:bCs/>
        </w:rPr>
        <w:t>K240501, K240502</w:t>
      </w:r>
    </w:p>
    <w:p w14:paraId="78B2C4CD">
      <w:pPr>
        <w:spacing w:line="276" w:lineRule="auto"/>
        <w:jc w:val="both"/>
        <w:rPr>
          <w:rFonts w:ascii="Arial" w:hAnsi="Arial" w:cs="Arial"/>
          <w:bCs/>
        </w:rPr>
      </w:pPr>
    </w:p>
    <w:p w14:paraId="503454E9">
      <w:pPr>
        <w:spacing w:line="276" w:lineRule="auto"/>
        <w:jc w:val="both"/>
        <w:rPr>
          <w:rFonts w:ascii="Arial" w:hAnsi="Arial" w:cs="Arial"/>
        </w:rPr>
      </w:pPr>
      <w:r>
        <w:rPr>
          <w:rFonts w:ascii="Arial" w:hAnsi="Arial" w:cs="Arial"/>
        </w:rPr>
        <w:t>Ciljevi su ostvareni.</w:t>
      </w:r>
    </w:p>
    <w:p w14:paraId="29980721">
      <w:pPr>
        <w:spacing w:line="276" w:lineRule="auto"/>
        <w:jc w:val="both"/>
        <w:rPr>
          <w:rFonts w:ascii="Arial" w:hAnsi="Arial" w:cs="Arial"/>
        </w:rPr>
      </w:pPr>
    </w:p>
    <w:p w14:paraId="75286B9A">
      <w:pPr>
        <w:spacing w:line="276" w:lineRule="auto"/>
        <w:jc w:val="both"/>
        <w:rPr>
          <w:rFonts w:ascii="Arial" w:hAnsi="Arial" w:cs="Arial"/>
        </w:rPr>
      </w:pPr>
      <w:r>
        <w:rPr>
          <w:rFonts w:ascii="Arial" w:hAnsi="Arial" w:cs="Arial"/>
        </w:rPr>
        <w:t>POKAZATELJ USPJEŠNOSTI</w:t>
      </w:r>
    </w:p>
    <w:p w14:paraId="699ADC22">
      <w:pPr>
        <w:spacing w:line="276" w:lineRule="auto"/>
        <w:jc w:val="both"/>
        <w:rPr>
          <w:rFonts w:ascii="Arial" w:hAnsi="Arial" w:cs="Arial"/>
        </w:rPr>
      </w:pPr>
    </w:p>
    <w:tbl>
      <w:tblPr>
        <w:tblStyle w:val="3"/>
        <w:tblW w:w="4322" w:type="pct"/>
        <w:tblInd w:w="0" w:type="dxa"/>
        <w:tblLayout w:type="autofit"/>
        <w:tblCellMar>
          <w:top w:w="0" w:type="dxa"/>
          <w:left w:w="108" w:type="dxa"/>
          <w:bottom w:w="0" w:type="dxa"/>
          <w:right w:w="108" w:type="dxa"/>
        </w:tblCellMar>
      </w:tblPr>
      <w:tblGrid>
        <w:gridCol w:w="2984"/>
        <w:gridCol w:w="1234"/>
        <w:gridCol w:w="1237"/>
        <w:gridCol w:w="1237"/>
        <w:gridCol w:w="1337"/>
      </w:tblGrid>
      <w:tr w14:paraId="5893C5FA">
        <w:tblPrEx>
          <w:tblCellMar>
            <w:top w:w="0" w:type="dxa"/>
            <w:left w:w="108" w:type="dxa"/>
            <w:bottom w:w="0" w:type="dxa"/>
            <w:right w:w="108" w:type="dxa"/>
          </w:tblCellMar>
        </w:tblPrEx>
        <w:trPr>
          <w:trHeight w:val="624" w:hRule="atLeast"/>
        </w:trPr>
        <w:tc>
          <w:tcPr>
            <w:tcW w:w="1858" w:type="pct"/>
            <w:tcBorders>
              <w:top w:val="nil"/>
              <w:left w:val="nil"/>
              <w:bottom w:val="single" w:color="auto" w:sz="4" w:space="0"/>
              <w:right w:val="nil"/>
            </w:tcBorders>
            <w:shd w:val="clear" w:color="auto" w:fill="auto"/>
            <w:noWrap/>
            <w:vAlign w:val="center"/>
          </w:tcPr>
          <w:p w14:paraId="1D2C5576">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768" w:type="pct"/>
            <w:tcBorders>
              <w:top w:val="nil"/>
              <w:left w:val="nil"/>
              <w:bottom w:val="single" w:color="auto" w:sz="4" w:space="0"/>
              <w:right w:val="nil"/>
            </w:tcBorders>
            <w:shd w:val="clear" w:color="auto" w:fill="auto"/>
            <w:vAlign w:val="center"/>
          </w:tcPr>
          <w:p w14:paraId="32C04FC5">
            <w:pPr>
              <w:spacing w:line="276" w:lineRule="auto"/>
              <w:jc w:val="center"/>
              <w:rPr>
                <w:rFonts w:ascii="Arial" w:hAnsi="Arial" w:cs="Arial"/>
                <w:b/>
                <w:bCs/>
                <w:color w:val="000000"/>
                <w:sz w:val="18"/>
                <w:szCs w:val="18"/>
              </w:rPr>
            </w:pPr>
            <w:r>
              <w:rPr>
                <w:rFonts w:ascii="Arial" w:hAnsi="Arial" w:cs="Arial"/>
                <w:b/>
                <w:bCs/>
                <w:color w:val="000000"/>
                <w:sz w:val="18"/>
                <w:szCs w:val="18"/>
              </w:rPr>
              <w:t>početna vrijednost (godina)</w:t>
            </w:r>
          </w:p>
        </w:tc>
        <w:tc>
          <w:tcPr>
            <w:tcW w:w="770" w:type="pct"/>
            <w:tcBorders>
              <w:top w:val="nil"/>
              <w:left w:val="nil"/>
              <w:bottom w:val="single" w:color="auto" w:sz="4" w:space="0"/>
              <w:right w:val="nil"/>
            </w:tcBorders>
            <w:shd w:val="clear" w:color="auto" w:fill="auto"/>
            <w:vAlign w:val="center"/>
          </w:tcPr>
          <w:p w14:paraId="50185EF7">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2023.</w:t>
            </w:r>
          </w:p>
        </w:tc>
        <w:tc>
          <w:tcPr>
            <w:tcW w:w="1602" w:type="pct"/>
            <w:gridSpan w:val="2"/>
            <w:tcBorders>
              <w:top w:val="nil"/>
              <w:left w:val="nil"/>
              <w:bottom w:val="single" w:color="auto" w:sz="4" w:space="0"/>
              <w:right w:val="nil"/>
            </w:tcBorders>
            <w:shd w:val="clear" w:color="auto" w:fill="auto"/>
            <w:vAlign w:val="center"/>
          </w:tcPr>
          <w:p w14:paraId="3BDDEE99">
            <w:pPr>
              <w:spacing w:line="276" w:lineRule="auto"/>
              <w:jc w:val="center"/>
              <w:rPr>
                <w:rFonts w:ascii="Arial" w:hAnsi="Arial" w:cs="Arial"/>
                <w:b/>
                <w:bCs/>
                <w:color w:val="000000"/>
                <w:sz w:val="18"/>
                <w:szCs w:val="18"/>
              </w:rPr>
            </w:pPr>
            <w:r>
              <w:rPr>
                <w:rFonts w:ascii="Arial" w:hAnsi="Arial" w:cs="Arial"/>
                <w:b/>
                <w:bCs/>
                <w:color w:val="000000"/>
                <w:sz w:val="18"/>
                <w:szCs w:val="18"/>
              </w:rPr>
              <w:t>OSTVARENO 1-12/2023</w:t>
            </w:r>
          </w:p>
        </w:tc>
      </w:tr>
      <w:tr w14:paraId="173F760A">
        <w:tblPrEx>
          <w:tblCellMar>
            <w:top w:w="0" w:type="dxa"/>
            <w:left w:w="108" w:type="dxa"/>
            <w:bottom w:w="0" w:type="dxa"/>
            <w:right w:w="108" w:type="dxa"/>
          </w:tblCellMar>
        </w:tblPrEx>
        <w:trPr>
          <w:trHeight w:val="624" w:hRule="atLeast"/>
        </w:trPr>
        <w:tc>
          <w:tcPr>
            <w:tcW w:w="1858" w:type="pct"/>
            <w:tcBorders>
              <w:top w:val="single" w:color="auto" w:sz="4" w:space="0"/>
              <w:left w:val="nil"/>
              <w:bottom w:val="single" w:color="auto" w:sz="4" w:space="0"/>
              <w:right w:val="nil"/>
            </w:tcBorders>
            <w:shd w:val="clear" w:color="auto" w:fill="auto"/>
            <w:vAlign w:val="center"/>
          </w:tcPr>
          <w:p w14:paraId="2F56368C">
            <w:pPr>
              <w:spacing w:line="276" w:lineRule="auto"/>
              <w:rPr>
                <w:rFonts w:ascii="Arial" w:hAnsi="Arial" w:cs="Arial"/>
                <w:color w:val="000000"/>
                <w:sz w:val="18"/>
                <w:szCs w:val="18"/>
              </w:rPr>
            </w:pPr>
            <w:r>
              <w:rPr>
                <w:rFonts w:ascii="Arial" w:hAnsi="Arial" w:cs="Arial"/>
                <w:color w:val="000000"/>
                <w:sz w:val="18"/>
                <w:szCs w:val="18"/>
              </w:rPr>
              <w:t>Opremanje školskih knjižnica obveznom lektirom i ostalom knjižnom građom</w:t>
            </w:r>
          </w:p>
        </w:tc>
        <w:tc>
          <w:tcPr>
            <w:tcW w:w="768" w:type="pct"/>
            <w:tcBorders>
              <w:top w:val="single" w:color="auto" w:sz="4" w:space="0"/>
              <w:left w:val="nil"/>
              <w:bottom w:val="single" w:color="auto" w:sz="4" w:space="0"/>
              <w:right w:val="nil"/>
            </w:tcBorders>
            <w:shd w:val="clear" w:color="auto" w:fill="auto"/>
            <w:noWrap/>
            <w:vAlign w:val="center"/>
          </w:tcPr>
          <w:p w14:paraId="1E419082">
            <w:pPr>
              <w:spacing w:line="276" w:lineRule="auto"/>
              <w:jc w:val="right"/>
              <w:rPr>
                <w:rFonts w:ascii="Arial" w:hAnsi="Arial" w:cs="Arial"/>
                <w:color w:val="000000"/>
                <w:sz w:val="18"/>
                <w:szCs w:val="18"/>
              </w:rPr>
            </w:pPr>
            <w:r>
              <w:rPr>
                <w:rFonts w:ascii="Arial" w:hAnsi="Arial" w:cs="Arial"/>
                <w:color w:val="000000"/>
                <w:sz w:val="18"/>
                <w:szCs w:val="18"/>
              </w:rPr>
              <w:t>Kontinuirano</w:t>
            </w:r>
          </w:p>
        </w:tc>
        <w:tc>
          <w:tcPr>
            <w:tcW w:w="770" w:type="pct"/>
            <w:tcBorders>
              <w:top w:val="single" w:color="auto" w:sz="4" w:space="0"/>
              <w:left w:val="nil"/>
              <w:bottom w:val="single" w:color="auto" w:sz="4" w:space="0"/>
              <w:right w:val="nil"/>
            </w:tcBorders>
            <w:shd w:val="clear" w:color="auto" w:fill="auto"/>
            <w:noWrap/>
            <w:vAlign w:val="center"/>
          </w:tcPr>
          <w:p w14:paraId="100F74DE">
            <w:pPr>
              <w:spacing w:line="276" w:lineRule="auto"/>
              <w:jc w:val="right"/>
              <w:rPr>
                <w:rFonts w:ascii="Arial" w:hAnsi="Arial" w:cs="Arial"/>
                <w:color w:val="000000"/>
                <w:sz w:val="18"/>
                <w:szCs w:val="18"/>
              </w:rPr>
            </w:pPr>
            <w:r>
              <w:rPr>
                <w:rFonts w:ascii="Arial" w:hAnsi="Arial" w:cs="Arial"/>
                <w:color w:val="000000"/>
                <w:sz w:val="18"/>
                <w:szCs w:val="18"/>
              </w:rPr>
              <w:t>Kontinuirano</w:t>
            </w:r>
          </w:p>
        </w:tc>
        <w:tc>
          <w:tcPr>
            <w:tcW w:w="770" w:type="pct"/>
            <w:tcBorders>
              <w:top w:val="single" w:color="auto" w:sz="4" w:space="0"/>
              <w:left w:val="nil"/>
              <w:bottom w:val="single" w:color="auto" w:sz="4" w:space="0"/>
              <w:right w:val="nil"/>
            </w:tcBorders>
            <w:shd w:val="clear" w:color="auto" w:fill="auto"/>
            <w:noWrap/>
            <w:vAlign w:val="center"/>
          </w:tcPr>
          <w:p w14:paraId="33F99B14">
            <w:pPr>
              <w:spacing w:line="276" w:lineRule="auto"/>
              <w:jc w:val="right"/>
              <w:rPr>
                <w:rFonts w:ascii="Arial" w:hAnsi="Arial" w:cs="Arial"/>
                <w:color w:val="000000"/>
                <w:sz w:val="18"/>
                <w:szCs w:val="18"/>
              </w:rPr>
            </w:pPr>
          </w:p>
        </w:tc>
        <w:tc>
          <w:tcPr>
            <w:tcW w:w="832" w:type="pct"/>
            <w:tcBorders>
              <w:top w:val="single" w:color="auto" w:sz="4" w:space="0"/>
              <w:left w:val="nil"/>
              <w:bottom w:val="single" w:color="auto" w:sz="4" w:space="0"/>
              <w:right w:val="nil"/>
            </w:tcBorders>
            <w:shd w:val="clear" w:color="auto" w:fill="auto"/>
            <w:noWrap/>
            <w:vAlign w:val="center"/>
          </w:tcPr>
          <w:p w14:paraId="23401E0B">
            <w:pPr>
              <w:spacing w:line="276" w:lineRule="auto"/>
              <w:jc w:val="right"/>
              <w:rPr>
                <w:rFonts w:ascii="Arial" w:hAnsi="Arial" w:cs="Arial"/>
                <w:color w:val="auto"/>
                <w:sz w:val="18"/>
                <w:szCs w:val="18"/>
              </w:rPr>
            </w:pPr>
            <w:r>
              <w:rPr>
                <w:rFonts w:ascii="Arial" w:hAnsi="Arial" w:cs="Arial"/>
                <w:b/>
                <w:bCs/>
                <w:color w:val="auto"/>
                <w:sz w:val="18"/>
                <w:szCs w:val="18"/>
              </w:rPr>
              <w:t>Kontinuirano</w:t>
            </w:r>
          </w:p>
        </w:tc>
      </w:tr>
    </w:tbl>
    <w:p w14:paraId="1E91DAA4">
      <w:pPr>
        <w:spacing w:line="276" w:lineRule="auto"/>
        <w:ind w:left="708"/>
        <w:jc w:val="both"/>
        <w:rPr>
          <w:rFonts w:ascii="Arial" w:hAnsi="Arial" w:cs="Arial"/>
          <w:bCs/>
        </w:rPr>
      </w:pPr>
    </w:p>
    <w:p w14:paraId="2D0F0473">
      <w:pPr>
        <w:spacing w:line="276" w:lineRule="auto"/>
        <w:ind w:left="708"/>
        <w:jc w:val="both"/>
        <w:rPr>
          <w:rFonts w:ascii="Arial" w:hAnsi="Arial" w:cs="Arial"/>
          <w:bCs/>
        </w:rPr>
      </w:pPr>
    </w:p>
    <w:p w14:paraId="23F8D4F7">
      <w:pPr>
        <w:pStyle w:val="6"/>
        <w:numPr>
          <w:ilvl w:val="0"/>
          <w:numId w:val="2"/>
        </w:numPr>
        <w:spacing w:after="0" w:line="276" w:lineRule="auto"/>
        <w:jc w:val="both"/>
        <w:rPr>
          <w:rFonts w:ascii="Arial" w:hAnsi="Arial" w:cs="Arial"/>
          <w:b/>
          <w:bCs/>
        </w:rPr>
      </w:pPr>
      <w:r>
        <w:rPr>
          <w:rFonts w:ascii="Arial" w:hAnsi="Arial" w:cs="Arial"/>
          <w:b/>
          <w:bCs/>
        </w:rPr>
        <w:t>PROGRAM 92</w:t>
      </w:r>
      <w:r>
        <w:rPr>
          <w:rFonts w:hint="default" w:ascii="Arial" w:hAnsi="Arial" w:cs="Arial"/>
          <w:b/>
          <w:bCs/>
          <w:lang w:val="hr-HR"/>
        </w:rPr>
        <w:t>12</w:t>
      </w:r>
      <w:r>
        <w:rPr>
          <w:rFonts w:ascii="Arial" w:hAnsi="Arial" w:cs="Arial"/>
          <w:b/>
          <w:bCs/>
        </w:rPr>
        <w:t>/92</w:t>
      </w:r>
      <w:r>
        <w:rPr>
          <w:rFonts w:hint="default" w:ascii="Arial" w:hAnsi="Arial" w:cs="Arial"/>
          <w:b/>
          <w:bCs/>
          <w:lang w:val="hr-HR"/>
        </w:rPr>
        <w:t>20:</w:t>
      </w:r>
      <w:r>
        <w:rPr>
          <w:rFonts w:ascii="Arial" w:hAnsi="Arial" w:cs="Arial"/>
          <w:b/>
          <w:bCs/>
        </w:rPr>
        <w:t xml:space="preserve"> MOZAIK </w:t>
      </w:r>
      <w:r>
        <w:rPr>
          <w:rFonts w:hint="default" w:ascii="Arial" w:hAnsi="Arial" w:cs="Arial"/>
          <w:b/>
          <w:bCs/>
          <w:lang w:val="hr-HR"/>
        </w:rPr>
        <w:t>6</w:t>
      </w:r>
      <w:r>
        <w:rPr>
          <w:rFonts w:ascii="Arial" w:hAnsi="Arial" w:cs="Arial"/>
          <w:b/>
          <w:bCs/>
        </w:rPr>
        <w:t xml:space="preserve"> – MOZAIK </w:t>
      </w:r>
      <w:r>
        <w:rPr>
          <w:rFonts w:hint="default" w:ascii="Arial" w:hAnsi="Arial" w:cs="Arial"/>
          <w:b/>
          <w:bCs/>
          <w:lang w:val="hr-HR"/>
        </w:rPr>
        <w:t>7</w:t>
      </w:r>
    </w:p>
    <w:p w14:paraId="1FC32B8F">
      <w:pPr>
        <w:spacing w:line="276" w:lineRule="auto"/>
        <w:jc w:val="both"/>
        <w:rPr>
          <w:rFonts w:ascii="Arial" w:hAnsi="Arial" w:cs="Arial"/>
          <w:bCs/>
        </w:rPr>
      </w:pPr>
    </w:p>
    <w:p w14:paraId="2C5307C4">
      <w:pPr>
        <w:pStyle w:val="6"/>
        <w:numPr>
          <w:ilvl w:val="1"/>
          <w:numId w:val="2"/>
        </w:numPr>
        <w:spacing w:after="0" w:line="276" w:lineRule="auto"/>
        <w:jc w:val="both"/>
        <w:rPr>
          <w:rFonts w:ascii="Arial" w:hAnsi="Arial" w:cs="Arial"/>
          <w:bCs/>
        </w:rPr>
      </w:pPr>
      <w:r>
        <w:rPr>
          <w:rFonts w:ascii="Arial" w:hAnsi="Arial" w:cs="Arial"/>
          <w:bCs/>
        </w:rPr>
        <w:t>AKTIVNOST T921</w:t>
      </w:r>
      <w:r>
        <w:rPr>
          <w:rFonts w:hint="default" w:ascii="Arial" w:hAnsi="Arial" w:cs="Arial"/>
          <w:bCs/>
          <w:lang w:val="hr-HR"/>
        </w:rPr>
        <w:t>201</w:t>
      </w:r>
      <w:r>
        <w:rPr>
          <w:rFonts w:ascii="Arial" w:hAnsi="Arial" w:cs="Arial"/>
          <w:bCs/>
        </w:rPr>
        <w:t xml:space="preserve">: Provedba projekta MOZAIK </w:t>
      </w:r>
      <w:r>
        <w:rPr>
          <w:rFonts w:hint="default" w:ascii="Arial" w:hAnsi="Arial" w:cs="Arial"/>
          <w:bCs/>
          <w:lang w:val="hr-HR"/>
        </w:rPr>
        <w:t>6</w:t>
      </w:r>
      <w:r>
        <w:rPr>
          <w:rFonts w:ascii="Arial" w:hAnsi="Arial" w:cs="Arial"/>
          <w:bCs/>
        </w:rPr>
        <w:t xml:space="preserve"> </w:t>
      </w:r>
    </w:p>
    <w:p w14:paraId="0BFA94F3">
      <w:pPr>
        <w:pStyle w:val="6"/>
        <w:spacing w:after="0" w:line="276" w:lineRule="auto"/>
        <w:jc w:val="both"/>
        <w:rPr>
          <w:rFonts w:hint="default" w:ascii="Arial" w:hAnsi="Arial" w:cs="Arial"/>
          <w:bCs/>
          <w:lang w:val="hr-HR"/>
        </w:rPr>
      </w:pPr>
      <w:r>
        <w:rPr>
          <w:rFonts w:ascii="Arial" w:hAnsi="Arial" w:cs="Arial"/>
          <w:bCs/>
        </w:rPr>
        <w:t>AKTIVNOST T92</w:t>
      </w:r>
      <w:r>
        <w:rPr>
          <w:rFonts w:hint="default" w:ascii="Arial" w:hAnsi="Arial" w:cs="Arial"/>
          <w:bCs/>
          <w:lang w:val="hr-HR"/>
        </w:rPr>
        <w:t>2001</w:t>
      </w:r>
      <w:r>
        <w:rPr>
          <w:rFonts w:ascii="Arial" w:hAnsi="Arial" w:cs="Arial"/>
          <w:bCs/>
        </w:rPr>
        <w:t xml:space="preserve">: Provedba projekta MOZAIK </w:t>
      </w:r>
      <w:r>
        <w:rPr>
          <w:rFonts w:hint="default" w:ascii="Arial" w:hAnsi="Arial" w:cs="Arial"/>
          <w:bCs/>
          <w:lang w:val="hr-HR"/>
        </w:rPr>
        <w:t>7</w:t>
      </w:r>
    </w:p>
    <w:p w14:paraId="0189D095">
      <w:pPr>
        <w:spacing w:line="276" w:lineRule="auto"/>
        <w:ind w:left="708"/>
        <w:jc w:val="both"/>
        <w:rPr>
          <w:rFonts w:ascii="Arial" w:hAnsi="Arial" w:cs="Arial"/>
        </w:rPr>
      </w:pPr>
      <w:r>
        <w:rPr>
          <w:rFonts w:ascii="Arial" w:hAnsi="Arial" w:cs="Arial"/>
        </w:rPr>
        <w:t xml:space="preserve">Projekt MOZAIK je sufinanciran iz sredstava Europskog socijalnog fonda (projekt IŽ) i IŽ. Obuhvaća </w:t>
      </w:r>
      <w:r>
        <w:rPr>
          <w:rFonts w:ascii="Arial" w:hAnsi="Arial" w:cs="Arial"/>
          <w:iCs/>
        </w:rPr>
        <w:t>osiguravanje pomoćnika u nastavi i stručnih komunikacijskih posrednika učenicima s teškoćama u razvoju u osnovnoškolskim i srednjoškolskim odgojno-obrazovnim ustanovama</w:t>
      </w:r>
      <w:r>
        <w:rPr>
          <w:rFonts w:ascii="Arial" w:hAnsi="Arial" w:cs="Arial"/>
        </w:rPr>
        <w:t xml:space="preserve"> u kojima je osnivač Istarska županija. Osiguranje pomoćnika učenicima s teškoćama u razvoju poboljšava njihov odgojno-obrazovni uspjeh, potiče uspješniju socijalizaciju i emocionalno funkcioniranje te donosi napredak u razvoju vještina i sposobnosti u školskoj sredini.</w:t>
      </w:r>
    </w:p>
    <w:p w14:paraId="6293E641">
      <w:pPr>
        <w:spacing w:line="276" w:lineRule="auto"/>
        <w:ind w:firstLine="567"/>
        <w:jc w:val="both"/>
        <w:rPr>
          <w:rFonts w:ascii="Arial" w:hAnsi="Arial" w:eastAsia="Calibri" w:cs="Arial"/>
          <w:b/>
        </w:rPr>
      </w:pPr>
    </w:p>
    <w:p w14:paraId="68E7FA4E">
      <w:pPr>
        <w:spacing w:line="276" w:lineRule="auto"/>
        <w:jc w:val="both"/>
        <w:rPr>
          <w:rFonts w:ascii="Arial" w:hAnsi="Arial" w:cs="Arial"/>
        </w:rPr>
      </w:pPr>
      <w:r>
        <w:rPr>
          <w:rFonts w:ascii="Arial" w:hAnsi="Arial" w:cs="Arial"/>
        </w:rPr>
        <w:t>CILJ USPJEŠNOSTI (mjere iz Provedbenog programa IŽ 2022-2025)</w:t>
      </w:r>
    </w:p>
    <w:p w14:paraId="2688B2DC">
      <w:pPr>
        <w:spacing w:line="276" w:lineRule="auto"/>
        <w:jc w:val="both"/>
        <w:rPr>
          <w:rFonts w:ascii="Arial" w:hAnsi="Arial" w:cs="Arial"/>
        </w:rPr>
      </w:pPr>
    </w:p>
    <w:p w14:paraId="2E39CA1D">
      <w:pPr>
        <w:spacing w:line="276" w:lineRule="auto"/>
        <w:jc w:val="both"/>
        <w:rPr>
          <w:rFonts w:ascii="Arial" w:hAnsi="Arial" w:cs="Arial"/>
        </w:rPr>
      </w:pPr>
      <w:r>
        <w:rPr>
          <w:rFonts w:ascii="Arial" w:hAnsi="Arial" w:cs="Arial"/>
        </w:rPr>
        <w:t>2.1.2. Osiguranje i poboljšanje dostupnosti obrazovanja djeci i roditeljima/starateljima</w:t>
      </w:r>
    </w:p>
    <w:p w14:paraId="62D4A436">
      <w:pPr>
        <w:spacing w:line="276" w:lineRule="auto"/>
        <w:jc w:val="both"/>
        <w:rPr>
          <w:rFonts w:ascii="Arial" w:hAnsi="Arial" w:cs="Arial"/>
        </w:rPr>
      </w:pPr>
      <w:r>
        <w:rPr>
          <w:rFonts w:ascii="Arial" w:hAnsi="Arial" w:cs="Arial"/>
        </w:rPr>
        <w:t xml:space="preserve">Cilj je ostvaren. </w:t>
      </w:r>
      <w:r>
        <w:rPr>
          <w:rFonts w:hint="default" w:ascii="Arial" w:hAnsi="Arial" w:cs="Arial"/>
          <w:lang w:val="hr-HR"/>
        </w:rPr>
        <w:t>Troje</w:t>
      </w:r>
      <w:r>
        <w:rPr>
          <w:rFonts w:ascii="Arial" w:hAnsi="Arial" w:cs="Arial"/>
        </w:rPr>
        <w:t xml:space="preserve"> učenika imalo je pomoćnike u nastavi.</w:t>
      </w:r>
    </w:p>
    <w:p w14:paraId="5C2CCD8A">
      <w:pPr>
        <w:spacing w:line="276" w:lineRule="auto"/>
        <w:jc w:val="both"/>
        <w:rPr>
          <w:rFonts w:ascii="Arial" w:hAnsi="Arial" w:cs="Arial"/>
        </w:rPr>
      </w:pPr>
    </w:p>
    <w:p w14:paraId="7302DB61">
      <w:pPr>
        <w:spacing w:line="276" w:lineRule="auto"/>
        <w:jc w:val="both"/>
        <w:rPr>
          <w:rFonts w:ascii="Arial" w:hAnsi="Arial" w:cs="Arial"/>
        </w:rPr>
      </w:pPr>
      <w:r>
        <w:rPr>
          <w:rFonts w:ascii="Arial" w:hAnsi="Arial" w:cs="Arial"/>
        </w:rPr>
        <w:t>POKAZATELJ USPJEŠNOSTI</w:t>
      </w:r>
    </w:p>
    <w:p w14:paraId="77502841">
      <w:pPr>
        <w:spacing w:line="276" w:lineRule="auto"/>
        <w:jc w:val="both"/>
        <w:rPr>
          <w:rFonts w:ascii="Arial" w:hAnsi="Arial" w:cs="Arial"/>
        </w:rPr>
      </w:pPr>
    </w:p>
    <w:tbl>
      <w:tblPr>
        <w:tblStyle w:val="3"/>
        <w:tblW w:w="7943" w:type="dxa"/>
        <w:tblInd w:w="0" w:type="dxa"/>
        <w:tblLayout w:type="autofit"/>
        <w:tblCellMar>
          <w:top w:w="0" w:type="dxa"/>
          <w:left w:w="108" w:type="dxa"/>
          <w:bottom w:w="0" w:type="dxa"/>
          <w:right w:w="108" w:type="dxa"/>
        </w:tblCellMar>
      </w:tblPr>
      <w:tblGrid>
        <w:gridCol w:w="3701"/>
        <w:gridCol w:w="1369"/>
        <w:gridCol w:w="1314"/>
        <w:gridCol w:w="642"/>
        <w:gridCol w:w="917"/>
      </w:tblGrid>
      <w:tr w14:paraId="04495669">
        <w:trPr>
          <w:trHeight w:val="340" w:hRule="atLeast"/>
        </w:trPr>
        <w:tc>
          <w:tcPr>
            <w:tcW w:w="0" w:type="auto"/>
            <w:tcBorders>
              <w:top w:val="nil"/>
              <w:left w:val="nil"/>
              <w:bottom w:val="single" w:color="auto" w:sz="4" w:space="0"/>
              <w:right w:val="nil"/>
            </w:tcBorders>
            <w:shd w:val="clear" w:color="auto" w:fill="auto"/>
            <w:noWrap/>
            <w:vAlign w:val="center"/>
          </w:tcPr>
          <w:p w14:paraId="703E4BE9">
            <w:pPr>
              <w:spacing w:line="276" w:lineRule="auto"/>
              <w:rPr>
                <w:rFonts w:ascii="Arial" w:hAnsi="Arial" w:cs="Arial"/>
                <w:b/>
                <w:bCs/>
                <w:color w:val="000000"/>
                <w:sz w:val="18"/>
                <w:szCs w:val="18"/>
              </w:rPr>
            </w:pPr>
            <w:r>
              <w:rPr>
                <w:rFonts w:ascii="Arial" w:hAnsi="Arial" w:cs="Arial"/>
                <w:b/>
                <w:bCs/>
                <w:color w:val="000000"/>
                <w:sz w:val="18"/>
                <w:szCs w:val="18"/>
              </w:rPr>
              <w:t>pokazatelj rezultata</w:t>
            </w:r>
          </w:p>
        </w:tc>
        <w:tc>
          <w:tcPr>
            <w:tcW w:w="1369" w:type="dxa"/>
            <w:tcBorders>
              <w:top w:val="nil"/>
              <w:left w:val="nil"/>
              <w:bottom w:val="single" w:color="auto" w:sz="4" w:space="0"/>
              <w:right w:val="nil"/>
            </w:tcBorders>
            <w:shd w:val="clear" w:color="auto" w:fill="auto"/>
            <w:vAlign w:val="center"/>
          </w:tcPr>
          <w:p w14:paraId="385F5989">
            <w:pPr>
              <w:spacing w:line="276" w:lineRule="auto"/>
              <w:jc w:val="center"/>
              <w:rPr>
                <w:rFonts w:ascii="Arial" w:hAnsi="Arial" w:cs="Arial"/>
                <w:b/>
                <w:bCs/>
                <w:color w:val="000000"/>
                <w:sz w:val="18"/>
                <w:szCs w:val="18"/>
              </w:rPr>
            </w:pPr>
            <w:r>
              <w:rPr>
                <w:rFonts w:ascii="Arial" w:hAnsi="Arial" w:cs="Arial"/>
                <w:b/>
                <w:bCs/>
                <w:color w:val="000000"/>
                <w:sz w:val="18"/>
                <w:szCs w:val="18"/>
              </w:rPr>
              <w:t>početna vrijednost (godina)</w:t>
            </w:r>
          </w:p>
        </w:tc>
        <w:tc>
          <w:tcPr>
            <w:tcW w:w="0" w:type="auto"/>
            <w:tcBorders>
              <w:top w:val="nil"/>
              <w:left w:val="nil"/>
              <w:bottom w:val="single" w:color="auto" w:sz="4" w:space="0"/>
              <w:right w:val="nil"/>
            </w:tcBorders>
            <w:shd w:val="clear" w:color="auto" w:fill="auto"/>
            <w:vAlign w:val="center"/>
          </w:tcPr>
          <w:p w14:paraId="119DEA3C">
            <w:pPr>
              <w:spacing w:line="276" w:lineRule="auto"/>
              <w:jc w:val="center"/>
              <w:rPr>
                <w:rFonts w:ascii="Arial" w:hAnsi="Arial" w:cs="Arial"/>
                <w:b/>
                <w:bCs/>
                <w:color w:val="000000"/>
                <w:sz w:val="18"/>
                <w:szCs w:val="18"/>
              </w:rPr>
            </w:pPr>
            <w:r>
              <w:rPr>
                <w:rFonts w:ascii="Arial" w:hAnsi="Arial" w:cs="Arial"/>
                <w:b/>
                <w:bCs/>
                <w:color w:val="000000"/>
                <w:sz w:val="18"/>
                <w:szCs w:val="18"/>
              </w:rPr>
              <w:t>ciljna vrijednost 202</w:t>
            </w:r>
            <w:r>
              <w:rPr>
                <w:rFonts w:hint="default" w:ascii="Arial" w:hAnsi="Arial" w:cs="Arial"/>
                <w:b/>
                <w:bCs/>
                <w:color w:val="000000"/>
                <w:sz w:val="18"/>
                <w:szCs w:val="18"/>
                <w:lang w:val="hr-HR"/>
              </w:rPr>
              <w:t>4</w:t>
            </w:r>
            <w:r>
              <w:rPr>
                <w:rFonts w:ascii="Arial" w:hAnsi="Arial" w:cs="Arial"/>
                <w:b/>
                <w:bCs/>
                <w:color w:val="000000"/>
                <w:sz w:val="18"/>
                <w:szCs w:val="18"/>
              </w:rPr>
              <w:t>.</w:t>
            </w:r>
          </w:p>
        </w:tc>
        <w:tc>
          <w:tcPr>
            <w:tcW w:w="0" w:type="auto"/>
            <w:gridSpan w:val="2"/>
            <w:tcBorders>
              <w:top w:val="nil"/>
              <w:left w:val="nil"/>
              <w:bottom w:val="single" w:color="auto" w:sz="4" w:space="0"/>
              <w:right w:val="nil"/>
            </w:tcBorders>
            <w:shd w:val="clear" w:color="auto" w:fill="auto"/>
            <w:vAlign w:val="center"/>
          </w:tcPr>
          <w:p w14:paraId="6F113444">
            <w:pPr>
              <w:spacing w:line="276" w:lineRule="auto"/>
              <w:jc w:val="center"/>
              <w:rPr>
                <w:rFonts w:hint="default" w:ascii="Arial" w:hAnsi="Arial" w:cs="Arial"/>
                <w:b/>
                <w:bCs/>
                <w:color w:val="000000"/>
                <w:sz w:val="18"/>
                <w:szCs w:val="18"/>
                <w:lang w:val="hr-HR"/>
              </w:rPr>
            </w:pPr>
            <w:r>
              <w:rPr>
                <w:rFonts w:ascii="Arial" w:hAnsi="Arial" w:cs="Arial"/>
                <w:b/>
                <w:bCs/>
                <w:color w:val="000000"/>
                <w:sz w:val="18"/>
                <w:szCs w:val="18"/>
              </w:rPr>
              <w:t>OSTVARENO 1-12/202</w:t>
            </w:r>
            <w:r>
              <w:rPr>
                <w:rFonts w:hint="default" w:ascii="Arial" w:hAnsi="Arial" w:cs="Arial"/>
                <w:b/>
                <w:bCs/>
                <w:color w:val="000000"/>
                <w:sz w:val="18"/>
                <w:szCs w:val="18"/>
                <w:lang w:val="hr-HR"/>
              </w:rPr>
              <w:t>4</w:t>
            </w:r>
          </w:p>
        </w:tc>
      </w:tr>
      <w:tr w14:paraId="5B5F05A5">
        <w:tblPrEx>
          <w:tblCellMar>
            <w:top w:w="0" w:type="dxa"/>
            <w:left w:w="108" w:type="dxa"/>
            <w:bottom w:w="0" w:type="dxa"/>
            <w:right w:w="108" w:type="dxa"/>
          </w:tblCellMar>
        </w:tblPrEx>
        <w:trPr>
          <w:trHeight w:val="340" w:hRule="atLeast"/>
        </w:trPr>
        <w:tc>
          <w:tcPr>
            <w:tcW w:w="0" w:type="auto"/>
            <w:tcBorders>
              <w:top w:val="nil"/>
              <w:left w:val="nil"/>
              <w:bottom w:val="single" w:color="auto" w:sz="4" w:space="0"/>
              <w:right w:val="nil"/>
            </w:tcBorders>
            <w:shd w:val="clear" w:color="auto" w:fill="auto"/>
            <w:vAlign w:val="center"/>
          </w:tcPr>
          <w:p w14:paraId="02693A61">
            <w:pPr>
              <w:spacing w:line="276" w:lineRule="auto"/>
              <w:rPr>
                <w:rFonts w:ascii="Arial" w:hAnsi="Arial" w:cs="Arial"/>
                <w:color w:val="000000"/>
                <w:sz w:val="18"/>
                <w:szCs w:val="18"/>
              </w:rPr>
            </w:pPr>
            <w:r>
              <w:rPr>
                <w:rFonts w:ascii="Arial" w:hAnsi="Arial" w:cs="Arial"/>
                <w:color w:val="000000"/>
                <w:sz w:val="18"/>
                <w:szCs w:val="18"/>
              </w:rPr>
              <w:t>Broj pomoćnika za djecu s poteškoćama u razvoju uključene u sustav osnovnoškolskog I srednjoškolskog obrazovanja</w:t>
            </w:r>
          </w:p>
        </w:tc>
        <w:tc>
          <w:tcPr>
            <w:tcW w:w="1369" w:type="dxa"/>
            <w:tcBorders>
              <w:top w:val="nil"/>
              <w:left w:val="nil"/>
              <w:bottom w:val="single" w:color="auto" w:sz="4" w:space="0"/>
              <w:right w:val="nil"/>
            </w:tcBorders>
            <w:shd w:val="clear" w:color="auto" w:fill="auto"/>
            <w:noWrap/>
            <w:vAlign w:val="center"/>
          </w:tcPr>
          <w:p w14:paraId="070034B6">
            <w:pPr>
              <w:spacing w:line="276" w:lineRule="auto"/>
              <w:jc w:val="right"/>
              <w:rPr>
                <w:rFonts w:hint="default" w:ascii="Arial" w:hAnsi="Arial" w:cs="Arial"/>
                <w:sz w:val="18"/>
                <w:szCs w:val="18"/>
                <w:lang w:val="hr-HR"/>
              </w:rPr>
            </w:pPr>
            <w:r>
              <w:rPr>
                <w:rFonts w:hint="default" w:ascii="Arial" w:hAnsi="Arial" w:cs="Arial"/>
                <w:sz w:val="18"/>
                <w:szCs w:val="18"/>
                <w:lang w:val="hr-HR"/>
              </w:rPr>
              <w:t>2</w:t>
            </w:r>
          </w:p>
        </w:tc>
        <w:tc>
          <w:tcPr>
            <w:tcW w:w="0" w:type="auto"/>
            <w:tcBorders>
              <w:top w:val="nil"/>
              <w:left w:val="nil"/>
              <w:bottom w:val="single" w:color="auto" w:sz="4" w:space="0"/>
              <w:right w:val="nil"/>
            </w:tcBorders>
            <w:shd w:val="clear" w:color="auto" w:fill="auto"/>
            <w:noWrap/>
            <w:vAlign w:val="center"/>
          </w:tcPr>
          <w:p w14:paraId="4369209A">
            <w:pPr>
              <w:spacing w:line="276" w:lineRule="auto"/>
              <w:jc w:val="right"/>
              <w:rPr>
                <w:rFonts w:hint="default" w:ascii="Arial" w:hAnsi="Arial" w:cs="Arial"/>
                <w:sz w:val="18"/>
                <w:szCs w:val="18"/>
                <w:lang w:val="hr-HR"/>
              </w:rPr>
            </w:pPr>
            <w:r>
              <w:rPr>
                <w:rFonts w:hint="default" w:ascii="Arial" w:hAnsi="Arial" w:cs="Arial"/>
                <w:sz w:val="18"/>
                <w:szCs w:val="18"/>
                <w:lang w:val="hr-HR"/>
              </w:rPr>
              <w:t>3</w:t>
            </w:r>
          </w:p>
        </w:tc>
        <w:tc>
          <w:tcPr>
            <w:tcW w:w="0" w:type="auto"/>
            <w:tcBorders>
              <w:top w:val="nil"/>
              <w:left w:val="nil"/>
              <w:bottom w:val="single" w:color="auto" w:sz="4" w:space="0"/>
              <w:right w:val="nil"/>
            </w:tcBorders>
            <w:shd w:val="clear" w:color="auto" w:fill="auto"/>
            <w:noWrap/>
            <w:vAlign w:val="center"/>
          </w:tcPr>
          <w:p w14:paraId="57F022AF">
            <w:pPr>
              <w:spacing w:line="276" w:lineRule="auto"/>
              <w:jc w:val="right"/>
              <w:rPr>
                <w:rFonts w:ascii="Arial" w:hAnsi="Arial" w:cs="Arial"/>
                <w:sz w:val="18"/>
                <w:szCs w:val="18"/>
              </w:rPr>
            </w:pPr>
          </w:p>
        </w:tc>
        <w:tc>
          <w:tcPr>
            <w:tcW w:w="0" w:type="auto"/>
            <w:tcBorders>
              <w:top w:val="nil"/>
              <w:left w:val="nil"/>
              <w:bottom w:val="single" w:color="auto" w:sz="4" w:space="0"/>
              <w:right w:val="nil"/>
            </w:tcBorders>
            <w:shd w:val="clear" w:color="auto" w:fill="auto"/>
            <w:noWrap/>
            <w:vAlign w:val="center"/>
          </w:tcPr>
          <w:p w14:paraId="3B77F6D3">
            <w:pPr>
              <w:spacing w:line="276" w:lineRule="auto"/>
              <w:jc w:val="right"/>
              <w:rPr>
                <w:rFonts w:hint="default" w:ascii="Arial" w:hAnsi="Arial" w:cs="Arial"/>
                <w:sz w:val="18"/>
                <w:szCs w:val="18"/>
                <w:lang w:val="hr-HR"/>
              </w:rPr>
            </w:pPr>
            <w:r>
              <w:rPr>
                <w:rFonts w:hint="default" w:ascii="Arial" w:hAnsi="Arial" w:cs="Arial"/>
                <w:sz w:val="18"/>
                <w:szCs w:val="18"/>
                <w:lang w:val="hr-HR"/>
              </w:rPr>
              <w:t>3</w:t>
            </w:r>
          </w:p>
        </w:tc>
      </w:tr>
    </w:tbl>
    <w:p w14:paraId="6E8D80DF">
      <w:pPr>
        <w:spacing w:line="276" w:lineRule="auto"/>
        <w:ind w:left="6372"/>
        <w:jc w:val="both"/>
        <w:rPr>
          <w:rFonts w:ascii="Arial" w:hAnsi="Arial" w:cs="Arial"/>
          <w:i/>
        </w:rPr>
      </w:pPr>
    </w:p>
    <w:p w14:paraId="38A1148B">
      <w:pPr>
        <w:spacing w:line="276" w:lineRule="auto"/>
        <w:jc w:val="both"/>
        <w:rPr>
          <w:rFonts w:ascii="Arial" w:hAnsi="Arial" w:cs="Arial"/>
        </w:rPr>
      </w:pPr>
      <w:bookmarkStart w:id="0" w:name="_GoBack"/>
      <w:bookmarkEnd w:id="0"/>
    </w:p>
    <w:p w14:paraId="751E91DD">
      <w:pPr>
        <w:spacing w:line="276" w:lineRule="auto"/>
        <w:jc w:val="both"/>
        <w:rPr>
          <w:rFonts w:ascii="Arial" w:hAnsi="Arial" w:cs="Arial"/>
          <w:b/>
          <w:sz w:val="24"/>
        </w:rPr>
      </w:pPr>
      <w:r>
        <w:rPr>
          <w:rFonts w:ascii="Arial" w:hAnsi="Arial" w:cs="Arial"/>
          <w:b/>
          <w:sz w:val="24"/>
        </w:rPr>
        <w:t>POSEBNI IZVJEŠTAJI</w:t>
      </w:r>
    </w:p>
    <w:p w14:paraId="004B4046">
      <w:pPr>
        <w:spacing w:line="276" w:lineRule="auto"/>
        <w:jc w:val="both"/>
        <w:rPr>
          <w:rFonts w:ascii="Arial" w:hAnsi="Arial" w:cs="Arial"/>
          <w:b/>
          <w:bCs/>
          <w:u w:val="single"/>
        </w:rPr>
      </w:pPr>
    </w:p>
    <w:p w14:paraId="53EBD1F5">
      <w:pPr>
        <w:spacing w:line="276" w:lineRule="auto"/>
        <w:jc w:val="both"/>
        <w:rPr>
          <w:rFonts w:ascii="Arial" w:hAnsi="Arial" w:cs="Arial"/>
          <w:bCs/>
        </w:rPr>
      </w:pPr>
      <w:r>
        <w:rPr>
          <w:rFonts w:ascii="Arial" w:hAnsi="Arial" w:cs="Arial"/>
          <w:bCs/>
        </w:rPr>
        <w:t>Posebni izvještaji u godišnjem izvještaju o izvršenju financijskog plana jesu:</w:t>
      </w:r>
    </w:p>
    <w:p w14:paraId="0B72FEEE">
      <w:pPr>
        <w:pStyle w:val="6"/>
        <w:numPr>
          <w:ilvl w:val="0"/>
          <w:numId w:val="3"/>
        </w:numPr>
        <w:spacing w:line="276" w:lineRule="auto"/>
        <w:jc w:val="both"/>
        <w:rPr>
          <w:rFonts w:ascii="Arial" w:hAnsi="Arial" w:cs="Arial"/>
          <w:bCs/>
        </w:rPr>
      </w:pPr>
      <w:r>
        <w:rPr>
          <w:rFonts w:ascii="Arial" w:hAnsi="Arial" w:cs="Arial"/>
          <w:bCs/>
        </w:rPr>
        <w:t>izvještaj o korištenju sredstava fondova Europske unije</w:t>
      </w:r>
    </w:p>
    <w:p w14:paraId="15A45FFE">
      <w:pPr>
        <w:pStyle w:val="6"/>
        <w:numPr>
          <w:ilvl w:val="0"/>
          <w:numId w:val="3"/>
        </w:numPr>
        <w:spacing w:line="276" w:lineRule="auto"/>
        <w:jc w:val="both"/>
        <w:rPr>
          <w:rFonts w:ascii="Arial" w:hAnsi="Arial" w:cs="Arial"/>
          <w:bCs/>
        </w:rPr>
      </w:pPr>
      <w:r>
        <w:rPr>
          <w:rFonts w:ascii="Arial" w:hAnsi="Arial" w:cs="Arial"/>
          <w:bCs/>
        </w:rPr>
        <w:t>izvještaj o zaduživanju na domaćem i stranom tržištu novca i kapitala</w:t>
      </w:r>
    </w:p>
    <w:p w14:paraId="05E6596B">
      <w:pPr>
        <w:pStyle w:val="6"/>
        <w:numPr>
          <w:ilvl w:val="0"/>
          <w:numId w:val="3"/>
        </w:numPr>
        <w:spacing w:line="276" w:lineRule="auto"/>
        <w:jc w:val="both"/>
        <w:rPr>
          <w:rFonts w:ascii="Arial" w:hAnsi="Arial" w:cs="Arial"/>
          <w:bCs/>
        </w:rPr>
      </w:pPr>
      <w:r>
        <w:rPr>
          <w:rFonts w:ascii="Arial" w:hAnsi="Arial" w:cs="Arial"/>
          <w:bCs/>
        </w:rPr>
        <w:t>izvještaj o danim zajmovima i potraživanjima po danim zajmovima</w:t>
      </w:r>
    </w:p>
    <w:p w14:paraId="356BA2EF">
      <w:pPr>
        <w:pStyle w:val="6"/>
        <w:numPr>
          <w:ilvl w:val="0"/>
          <w:numId w:val="3"/>
        </w:numPr>
        <w:spacing w:line="276" w:lineRule="auto"/>
        <w:jc w:val="both"/>
        <w:rPr>
          <w:rFonts w:ascii="Arial" w:hAnsi="Arial" w:cs="Arial"/>
          <w:bCs/>
        </w:rPr>
      </w:pPr>
      <w:r>
        <w:rPr>
          <w:rFonts w:ascii="Arial" w:hAnsi="Arial" w:cs="Arial"/>
          <w:bCs/>
        </w:rPr>
        <w:t>izvještaj o stanju potraživanja i dospjelim obvezama te o stanju potencijalnih obveza</w:t>
      </w:r>
    </w:p>
    <w:p w14:paraId="06357BF7">
      <w:pPr>
        <w:pStyle w:val="6"/>
        <w:spacing w:line="276" w:lineRule="auto"/>
        <w:jc w:val="both"/>
        <w:rPr>
          <w:rFonts w:ascii="Arial" w:hAnsi="Arial" w:cs="Arial"/>
          <w:bCs/>
        </w:rPr>
      </w:pPr>
      <w:r>
        <w:rPr>
          <w:rFonts w:ascii="Arial" w:hAnsi="Arial" w:cs="Arial"/>
          <w:bCs/>
        </w:rPr>
        <w:t>po osnovi sudskih sporova.</w:t>
      </w:r>
    </w:p>
    <w:p w14:paraId="5E2BEAEA">
      <w:pPr>
        <w:spacing w:line="276" w:lineRule="auto"/>
        <w:jc w:val="both"/>
        <w:rPr>
          <w:rFonts w:ascii="Arial" w:hAnsi="Arial" w:cs="Arial"/>
          <w:bCs/>
        </w:rPr>
      </w:pPr>
      <w:r>
        <w:rPr>
          <w:rFonts w:ascii="Arial" w:hAnsi="Arial" w:cs="Arial"/>
          <w:bCs/>
        </w:rPr>
        <w:t>U 202</w:t>
      </w:r>
      <w:r>
        <w:rPr>
          <w:rFonts w:hint="default" w:ascii="Arial" w:hAnsi="Arial" w:cs="Arial"/>
          <w:bCs/>
          <w:lang w:val="hr-HR"/>
        </w:rPr>
        <w:t>4</w:t>
      </w:r>
      <w:r>
        <w:rPr>
          <w:rFonts w:ascii="Arial" w:hAnsi="Arial" w:cs="Arial"/>
          <w:bCs/>
        </w:rPr>
        <w:t>. nije bilo osnova za sastavljanje navedenih posebnih izvještaja, tj. ne postoje sporovi, dani ni primljeni zajmovi, zaduživanje, ni korištenje sredstava EU (kod projekta MOZAIK korisnik EU sredstava je osnivač).</w:t>
      </w:r>
    </w:p>
    <w:p w14:paraId="2C5BC1DD">
      <w:pPr>
        <w:jc w:val="both"/>
        <w:rPr>
          <w:rFonts w:hint="default" w:ascii="Arial" w:hAnsi="Arial" w:cs="Arial"/>
          <w:sz w:val="22"/>
          <w:szCs w:val="2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088CC"/>
    <w:multiLevelType w:val="singleLevel"/>
    <w:tmpl w:val="0C5088CC"/>
    <w:lvl w:ilvl="0" w:tentative="0">
      <w:start w:val="1"/>
      <w:numFmt w:val="decimal"/>
      <w:suff w:val="space"/>
      <w:lvlText w:val="%1."/>
      <w:lvlJc w:val="left"/>
    </w:lvl>
  </w:abstractNum>
  <w:abstractNum w:abstractNumId="1">
    <w:nsid w:val="184B2E86"/>
    <w:multiLevelType w:val="multilevel"/>
    <w:tmpl w:val="184B2E8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2D05993"/>
    <w:multiLevelType w:val="multilevel"/>
    <w:tmpl w:val="72D05993"/>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EA"/>
    <w:rsid w:val="00010C8D"/>
    <w:rsid w:val="00021760"/>
    <w:rsid w:val="00025652"/>
    <w:rsid w:val="00032BEB"/>
    <w:rsid w:val="000351F7"/>
    <w:rsid w:val="00041BAB"/>
    <w:rsid w:val="00062EEA"/>
    <w:rsid w:val="00075F69"/>
    <w:rsid w:val="000A0A88"/>
    <w:rsid w:val="000B2750"/>
    <w:rsid w:val="000B7DB8"/>
    <w:rsid w:val="000C1E62"/>
    <w:rsid w:val="000D6306"/>
    <w:rsid w:val="000E52B5"/>
    <w:rsid w:val="00105B09"/>
    <w:rsid w:val="00110972"/>
    <w:rsid w:val="001378A6"/>
    <w:rsid w:val="00140CC8"/>
    <w:rsid w:val="001433B9"/>
    <w:rsid w:val="0015544D"/>
    <w:rsid w:val="00172B87"/>
    <w:rsid w:val="00173114"/>
    <w:rsid w:val="00176F4A"/>
    <w:rsid w:val="001841C1"/>
    <w:rsid w:val="001C14C0"/>
    <w:rsid w:val="001D2624"/>
    <w:rsid w:val="001D597B"/>
    <w:rsid w:val="001D770B"/>
    <w:rsid w:val="00212A87"/>
    <w:rsid w:val="00216F2C"/>
    <w:rsid w:val="00254292"/>
    <w:rsid w:val="002563E9"/>
    <w:rsid w:val="002771DA"/>
    <w:rsid w:val="002A281C"/>
    <w:rsid w:val="002A393D"/>
    <w:rsid w:val="002A3F4C"/>
    <w:rsid w:val="002B7BF7"/>
    <w:rsid w:val="002C07CB"/>
    <w:rsid w:val="002D3170"/>
    <w:rsid w:val="002E27B8"/>
    <w:rsid w:val="002E75C4"/>
    <w:rsid w:val="002F0F89"/>
    <w:rsid w:val="002F3080"/>
    <w:rsid w:val="002F3FC3"/>
    <w:rsid w:val="002F4B3E"/>
    <w:rsid w:val="00306EB0"/>
    <w:rsid w:val="003155C1"/>
    <w:rsid w:val="003352D2"/>
    <w:rsid w:val="00342B34"/>
    <w:rsid w:val="00355E0A"/>
    <w:rsid w:val="0037719E"/>
    <w:rsid w:val="00390BBF"/>
    <w:rsid w:val="003910E3"/>
    <w:rsid w:val="0039481A"/>
    <w:rsid w:val="003A2292"/>
    <w:rsid w:val="003C2F09"/>
    <w:rsid w:val="003C390A"/>
    <w:rsid w:val="003C4F19"/>
    <w:rsid w:val="003D0283"/>
    <w:rsid w:val="003E7541"/>
    <w:rsid w:val="003F0618"/>
    <w:rsid w:val="003F1BE5"/>
    <w:rsid w:val="003F55A6"/>
    <w:rsid w:val="003F6153"/>
    <w:rsid w:val="00404D24"/>
    <w:rsid w:val="004123DF"/>
    <w:rsid w:val="00416E1A"/>
    <w:rsid w:val="0042360D"/>
    <w:rsid w:val="00425918"/>
    <w:rsid w:val="004279A0"/>
    <w:rsid w:val="00432E9A"/>
    <w:rsid w:val="0044666C"/>
    <w:rsid w:val="004477D3"/>
    <w:rsid w:val="00456490"/>
    <w:rsid w:val="0046692F"/>
    <w:rsid w:val="0047556E"/>
    <w:rsid w:val="00487827"/>
    <w:rsid w:val="004B26A6"/>
    <w:rsid w:val="004B604D"/>
    <w:rsid w:val="004C44E6"/>
    <w:rsid w:val="004C5B4A"/>
    <w:rsid w:val="004D17F8"/>
    <w:rsid w:val="004D3BBD"/>
    <w:rsid w:val="004E39C9"/>
    <w:rsid w:val="004F188F"/>
    <w:rsid w:val="004F338F"/>
    <w:rsid w:val="004F617E"/>
    <w:rsid w:val="00502362"/>
    <w:rsid w:val="005056DA"/>
    <w:rsid w:val="00505FCD"/>
    <w:rsid w:val="0051601D"/>
    <w:rsid w:val="005211F1"/>
    <w:rsid w:val="00536919"/>
    <w:rsid w:val="00543F85"/>
    <w:rsid w:val="00565DB8"/>
    <w:rsid w:val="00575A36"/>
    <w:rsid w:val="00593B9F"/>
    <w:rsid w:val="005950DE"/>
    <w:rsid w:val="005B237A"/>
    <w:rsid w:val="005B2EBB"/>
    <w:rsid w:val="005D6967"/>
    <w:rsid w:val="005E0ECC"/>
    <w:rsid w:val="00604C2B"/>
    <w:rsid w:val="00604E55"/>
    <w:rsid w:val="00607F8F"/>
    <w:rsid w:val="00610B88"/>
    <w:rsid w:val="00620120"/>
    <w:rsid w:val="00623FA2"/>
    <w:rsid w:val="00656EA4"/>
    <w:rsid w:val="00661A53"/>
    <w:rsid w:val="006633C0"/>
    <w:rsid w:val="00664DE9"/>
    <w:rsid w:val="0067503D"/>
    <w:rsid w:val="00687BE9"/>
    <w:rsid w:val="0069099E"/>
    <w:rsid w:val="00694FAD"/>
    <w:rsid w:val="006A7D61"/>
    <w:rsid w:val="006C54C9"/>
    <w:rsid w:val="006E1F9E"/>
    <w:rsid w:val="006E75D0"/>
    <w:rsid w:val="006F0BA4"/>
    <w:rsid w:val="006F5322"/>
    <w:rsid w:val="007042F6"/>
    <w:rsid w:val="00704B3D"/>
    <w:rsid w:val="00712C23"/>
    <w:rsid w:val="0072307C"/>
    <w:rsid w:val="00730AD8"/>
    <w:rsid w:val="00730BDD"/>
    <w:rsid w:val="00734310"/>
    <w:rsid w:val="00750768"/>
    <w:rsid w:val="00751B6C"/>
    <w:rsid w:val="00752162"/>
    <w:rsid w:val="007617CA"/>
    <w:rsid w:val="00767F73"/>
    <w:rsid w:val="007776B9"/>
    <w:rsid w:val="00781BDC"/>
    <w:rsid w:val="007849C7"/>
    <w:rsid w:val="00790D02"/>
    <w:rsid w:val="00794FF6"/>
    <w:rsid w:val="007A5114"/>
    <w:rsid w:val="007A7CD0"/>
    <w:rsid w:val="007B2D45"/>
    <w:rsid w:val="007E2C94"/>
    <w:rsid w:val="007F27E2"/>
    <w:rsid w:val="008136C1"/>
    <w:rsid w:val="00817D61"/>
    <w:rsid w:val="008356BB"/>
    <w:rsid w:val="0083728B"/>
    <w:rsid w:val="0086556A"/>
    <w:rsid w:val="00872BC4"/>
    <w:rsid w:val="008759B7"/>
    <w:rsid w:val="0088049F"/>
    <w:rsid w:val="00885A2E"/>
    <w:rsid w:val="008871D8"/>
    <w:rsid w:val="008A6043"/>
    <w:rsid w:val="008C12C0"/>
    <w:rsid w:val="008C3E49"/>
    <w:rsid w:val="008D6221"/>
    <w:rsid w:val="008E74F8"/>
    <w:rsid w:val="008F305C"/>
    <w:rsid w:val="0091073D"/>
    <w:rsid w:val="0091177D"/>
    <w:rsid w:val="00911CDF"/>
    <w:rsid w:val="00913F26"/>
    <w:rsid w:val="00914178"/>
    <w:rsid w:val="00915C12"/>
    <w:rsid w:val="00927C4A"/>
    <w:rsid w:val="00953F67"/>
    <w:rsid w:val="009550F2"/>
    <w:rsid w:val="009A7CD7"/>
    <w:rsid w:val="009B3FF1"/>
    <w:rsid w:val="009C2205"/>
    <w:rsid w:val="009C3D11"/>
    <w:rsid w:val="009D2ABB"/>
    <w:rsid w:val="009F4EF5"/>
    <w:rsid w:val="009F5E01"/>
    <w:rsid w:val="009F7059"/>
    <w:rsid w:val="009F7A43"/>
    <w:rsid w:val="009F7ED8"/>
    <w:rsid w:val="00A01976"/>
    <w:rsid w:val="00A03FD0"/>
    <w:rsid w:val="00A0731D"/>
    <w:rsid w:val="00A17129"/>
    <w:rsid w:val="00A24E73"/>
    <w:rsid w:val="00A3178F"/>
    <w:rsid w:val="00A50F4C"/>
    <w:rsid w:val="00A6759E"/>
    <w:rsid w:val="00A72415"/>
    <w:rsid w:val="00A82E6F"/>
    <w:rsid w:val="00A83F20"/>
    <w:rsid w:val="00A87709"/>
    <w:rsid w:val="00A96C5E"/>
    <w:rsid w:val="00AA56D5"/>
    <w:rsid w:val="00AA7E7D"/>
    <w:rsid w:val="00AB6EAA"/>
    <w:rsid w:val="00AC32CE"/>
    <w:rsid w:val="00AD688B"/>
    <w:rsid w:val="00AD6BF7"/>
    <w:rsid w:val="00AE01C6"/>
    <w:rsid w:val="00AE1524"/>
    <w:rsid w:val="00B162AC"/>
    <w:rsid w:val="00B24064"/>
    <w:rsid w:val="00B26A33"/>
    <w:rsid w:val="00B41166"/>
    <w:rsid w:val="00B47AF3"/>
    <w:rsid w:val="00B5327C"/>
    <w:rsid w:val="00B61D8C"/>
    <w:rsid w:val="00B8324F"/>
    <w:rsid w:val="00B8518E"/>
    <w:rsid w:val="00B93EAD"/>
    <w:rsid w:val="00B96F89"/>
    <w:rsid w:val="00B972CF"/>
    <w:rsid w:val="00BB1C5D"/>
    <w:rsid w:val="00BB71F6"/>
    <w:rsid w:val="00BC25EA"/>
    <w:rsid w:val="00BC5EAE"/>
    <w:rsid w:val="00BD28D7"/>
    <w:rsid w:val="00BD7DC2"/>
    <w:rsid w:val="00BE13F7"/>
    <w:rsid w:val="00BE46DF"/>
    <w:rsid w:val="00BE73DA"/>
    <w:rsid w:val="00BF5BB3"/>
    <w:rsid w:val="00C03473"/>
    <w:rsid w:val="00C03F90"/>
    <w:rsid w:val="00C0531B"/>
    <w:rsid w:val="00C10033"/>
    <w:rsid w:val="00C1515F"/>
    <w:rsid w:val="00C2493B"/>
    <w:rsid w:val="00C53D85"/>
    <w:rsid w:val="00C55197"/>
    <w:rsid w:val="00C66423"/>
    <w:rsid w:val="00C76796"/>
    <w:rsid w:val="00C84D6E"/>
    <w:rsid w:val="00C8739A"/>
    <w:rsid w:val="00C87511"/>
    <w:rsid w:val="00C919BD"/>
    <w:rsid w:val="00CA13B1"/>
    <w:rsid w:val="00CB042A"/>
    <w:rsid w:val="00CB30AF"/>
    <w:rsid w:val="00CB454D"/>
    <w:rsid w:val="00CB4BD0"/>
    <w:rsid w:val="00CB4F40"/>
    <w:rsid w:val="00CC362E"/>
    <w:rsid w:val="00CD1D41"/>
    <w:rsid w:val="00CE6B43"/>
    <w:rsid w:val="00CF4F42"/>
    <w:rsid w:val="00CF63FA"/>
    <w:rsid w:val="00D042A1"/>
    <w:rsid w:val="00D10276"/>
    <w:rsid w:val="00D22C8E"/>
    <w:rsid w:val="00D37AE1"/>
    <w:rsid w:val="00D462BC"/>
    <w:rsid w:val="00D519B2"/>
    <w:rsid w:val="00D536B9"/>
    <w:rsid w:val="00D62A22"/>
    <w:rsid w:val="00D71F74"/>
    <w:rsid w:val="00D800AA"/>
    <w:rsid w:val="00D81C60"/>
    <w:rsid w:val="00DA21E9"/>
    <w:rsid w:val="00DA65CC"/>
    <w:rsid w:val="00DB00C4"/>
    <w:rsid w:val="00DC1517"/>
    <w:rsid w:val="00DC4760"/>
    <w:rsid w:val="00DE3CA6"/>
    <w:rsid w:val="00E00DFA"/>
    <w:rsid w:val="00E200F4"/>
    <w:rsid w:val="00E30842"/>
    <w:rsid w:val="00E35A0D"/>
    <w:rsid w:val="00E450D9"/>
    <w:rsid w:val="00E6082C"/>
    <w:rsid w:val="00E630C3"/>
    <w:rsid w:val="00E706BA"/>
    <w:rsid w:val="00E869EF"/>
    <w:rsid w:val="00EB3088"/>
    <w:rsid w:val="00EC308E"/>
    <w:rsid w:val="00EC6A08"/>
    <w:rsid w:val="00ED5FE0"/>
    <w:rsid w:val="00EE34F5"/>
    <w:rsid w:val="00EF78E8"/>
    <w:rsid w:val="00F04100"/>
    <w:rsid w:val="00F0432A"/>
    <w:rsid w:val="00F0498D"/>
    <w:rsid w:val="00F0566F"/>
    <w:rsid w:val="00F2136A"/>
    <w:rsid w:val="00F369A3"/>
    <w:rsid w:val="00F42F8A"/>
    <w:rsid w:val="00F55BF9"/>
    <w:rsid w:val="00F60121"/>
    <w:rsid w:val="00F6018A"/>
    <w:rsid w:val="00F728E7"/>
    <w:rsid w:val="00F82A28"/>
    <w:rsid w:val="00F872AF"/>
    <w:rsid w:val="00FA44B5"/>
    <w:rsid w:val="00FA7C32"/>
    <w:rsid w:val="00FB4098"/>
    <w:rsid w:val="00FB5BEA"/>
    <w:rsid w:val="00FC04C6"/>
    <w:rsid w:val="00FC59C6"/>
    <w:rsid w:val="00FD02AD"/>
    <w:rsid w:val="00FD78FB"/>
    <w:rsid w:val="00FE483C"/>
    <w:rsid w:val="00FF242C"/>
    <w:rsid w:val="021021F7"/>
    <w:rsid w:val="046D6680"/>
    <w:rsid w:val="05580D9F"/>
    <w:rsid w:val="06E32F59"/>
    <w:rsid w:val="074937C5"/>
    <w:rsid w:val="09405B17"/>
    <w:rsid w:val="0BCF774A"/>
    <w:rsid w:val="0E011250"/>
    <w:rsid w:val="0F373826"/>
    <w:rsid w:val="14946211"/>
    <w:rsid w:val="151F1C0E"/>
    <w:rsid w:val="1AC9187F"/>
    <w:rsid w:val="1AD650A1"/>
    <w:rsid w:val="1ED86AF2"/>
    <w:rsid w:val="21715CCF"/>
    <w:rsid w:val="22565A93"/>
    <w:rsid w:val="236E3022"/>
    <w:rsid w:val="251941BC"/>
    <w:rsid w:val="2644471B"/>
    <w:rsid w:val="26766A1A"/>
    <w:rsid w:val="26A10A75"/>
    <w:rsid w:val="28242ACC"/>
    <w:rsid w:val="2C104A52"/>
    <w:rsid w:val="2C420DA8"/>
    <w:rsid w:val="2D86535F"/>
    <w:rsid w:val="2DA20A15"/>
    <w:rsid w:val="2DE230BA"/>
    <w:rsid w:val="2E9D3186"/>
    <w:rsid w:val="2EA612C4"/>
    <w:rsid w:val="322A47D0"/>
    <w:rsid w:val="394C0D88"/>
    <w:rsid w:val="39FE1D13"/>
    <w:rsid w:val="3A1A4851"/>
    <w:rsid w:val="3B177A17"/>
    <w:rsid w:val="3C122810"/>
    <w:rsid w:val="3EF46B2B"/>
    <w:rsid w:val="420E64EB"/>
    <w:rsid w:val="44170B98"/>
    <w:rsid w:val="44D47D7A"/>
    <w:rsid w:val="460C3D15"/>
    <w:rsid w:val="475E09ED"/>
    <w:rsid w:val="4BB925BD"/>
    <w:rsid w:val="4BDD6472"/>
    <w:rsid w:val="4CEA00D5"/>
    <w:rsid w:val="51D758E1"/>
    <w:rsid w:val="52194624"/>
    <w:rsid w:val="55520D84"/>
    <w:rsid w:val="56B527E0"/>
    <w:rsid w:val="58153A39"/>
    <w:rsid w:val="5971017F"/>
    <w:rsid w:val="59BE56A5"/>
    <w:rsid w:val="5C8F14EF"/>
    <w:rsid w:val="5E613449"/>
    <w:rsid w:val="5EC010C7"/>
    <w:rsid w:val="5EE33861"/>
    <w:rsid w:val="61336971"/>
    <w:rsid w:val="619520BF"/>
    <w:rsid w:val="623E0224"/>
    <w:rsid w:val="62557D46"/>
    <w:rsid w:val="6809459C"/>
    <w:rsid w:val="6A0A0C6D"/>
    <w:rsid w:val="6AA0082F"/>
    <w:rsid w:val="6BCD76BA"/>
    <w:rsid w:val="6DDA230A"/>
    <w:rsid w:val="722978DD"/>
    <w:rsid w:val="734A4A8A"/>
    <w:rsid w:val="7CB472A6"/>
    <w:rsid w:val="7DA0514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536"/>
        <w:tab w:val="right" w:pos="9072"/>
      </w:tabs>
    </w:pPr>
  </w:style>
  <w:style w:type="character" w:styleId="5">
    <w:name w:val="Hyperlink"/>
    <w:basedOn w:val="2"/>
    <w:autoRedefine/>
    <w:semiHidden/>
    <w:unhideWhenUsed/>
    <w:qFormat/>
    <w:uiPriority w:val="99"/>
    <w:rPr>
      <w:color w:val="0000FF"/>
      <w:u w:val="single"/>
    </w:rPr>
  </w:style>
  <w:style w:type="paragraph" w:styleId="6">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2A1A-4722-4856-A1C7-20DA5C90523F}">
  <ds:schemaRefs/>
</ds:datastoreItem>
</file>

<file path=docProps/app.xml><?xml version="1.0" encoding="utf-8"?>
<Properties xmlns="http://schemas.openxmlformats.org/officeDocument/2006/extended-properties" xmlns:vt="http://schemas.openxmlformats.org/officeDocument/2006/docPropsVTypes">
  <Template>Normal</Template>
  <Pages>11</Pages>
  <Words>3372</Words>
  <Characters>19222</Characters>
  <Lines>160</Lines>
  <Paragraphs>45</Paragraphs>
  <TotalTime>20</TotalTime>
  <ScaleCrop>false</ScaleCrop>
  <LinksUpToDate>false</LinksUpToDate>
  <CharactersWithSpaces>22549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2022-08-24T09:46:00Z</dcterms:created>
  <dc:creator>Smiljana Vale</dc:creator>
  <cp:lastModifiedBy>Rozana Zulijan</cp:lastModifiedBy>
  <dcterms:modified xsi:type="dcterms:W3CDTF">2025-03-06T08:50:06Z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E085E3654EA64A99845E88BD375E292B_12</vt:lpwstr>
  </property>
</Properties>
</file>