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OŠ JURE FILIPOVIĆA BARBAN</w:t>
      </w: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BARBAN 150</w:t>
      </w: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52207 BARBAN</w:t>
      </w: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ured@os-barban.skole.hr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KLASA:400-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01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23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-01/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07</w:t>
      </w: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URBROJ:2168-3-01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/1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-2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-</w:t>
      </w:r>
      <w:r w:rsidR="006C4548">
        <w:rPr>
          <w:rFonts w:ascii="Arial" w:hAnsi="Arial" w:cs="Arial"/>
          <w:b/>
          <w:bCs/>
          <w:sz w:val="22"/>
          <w:szCs w:val="22"/>
          <w:lang w:eastAsia="en-US"/>
        </w:rPr>
        <w:t>2</w:t>
      </w:r>
    </w:p>
    <w:p w:rsidR="006C4548" w:rsidRDefault="006C454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Barban, 31.12.2024.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Obrazloženje </w:t>
      </w:r>
      <w:r w:rsidR="006C4548">
        <w:rPr>
          <w:rFonts w:ascii="Arial" w:hAnsi="Arial" w:cs="Arial"/>
          <w:b/>
          <w:bCs/>
          <w:sz w:val="22"/>
          <w:szCs w:val="22"/>
          <w:lang w:eastAsia="en-US"/>
        </w:rPr>
        <w:t>F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inancijskog plana za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. godinu </w:t>
      </w:r>
    </w:p>
    <w:p w:rsidR="001F6839" w:rsidRDefault="008571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sa projekcijama za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. i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7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1F6839" w:rsidRDefault="001F6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SAŽETAK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DJELOKRUGA RADA PRORAČUNSKOG KORISNIKA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Osnovna škola Barban je javna ustanova koja obavlja djelatnost osnovnog odgoja i obrazovanja u skladu s aktom o osnivanju Županijske skupštine Istarske županije, upisana je u zajednički elektronski upisnik ustanova </w:t>
      </w:r>
      <w:r>
        <w:rPr>
          <w:rFonts w:ascii="Arial" w:hAnsi="Arial" w:cs="Arial"/>
          <w:sz w:val="22"/>
          <w:szCs w:val="22"/>
          <w:lang w:eastAsia="en-US"/>
        </w:rPr>
        <w:t>osnovnog i srednjeg školstva Ministarstva znanosti i obrazovanja.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Škola ima svojstvo pravne osobe i upisana je u sudski registar ustanova kod Trgovačkog suda u Pazinu pod matičnim brojem subjekta upisa 040062585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Osnivač Škole je Istarska županija.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Zgrada O</w:t>
      </w:r>
      <w:r>
        <w:rPr>
          <w:rFonts w:ascii="Arial" w:hAnsi="Arial" w:cs="Arial"/>
          <w:sz w:val="22"/>
          <w:szCs w:val="22"/>
          <w:lang w:eastAsia="en-US"/>
        </w:rPr>
        <w:t>snovne škole Jure Filipovića Barban smještena je u mjestu Barban, na adresi Barban 150. Školu pohađa ukupno 1</w:t>
      </w:r>
      <w:r>
        <w:rPr>
          <w:rFonts w:ascii="Arial" w:hAnsi="Arial" w:cs="Arial"/>
          <w:sz w:val="22"/>
          <w:szCs w:val="22"/>
          <w:lang w:eastAsia="en-US"/>
        </w:rPr>
        <w:t>40</w:t>
      </w:r>
      <w:r>
        <w:rPr>
          <w:rFonts w:ascii="Arial" w:hAnsi="Arial" w:cs="Arial"/>
          <w:sz w:val="22"/>
          <w:szCs w:val="22"/>
          <w:lang w:eastAsia="en-US"/>
        </w:rPr>
        <w:t xml:space="preserve"> učenika, od čega je 90 % putnika. Za učenike je organiziran prijevoz školskim autobusima i to tri u dovozu i dva u odvozu.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Školsku zgradu čine p</w:t>
      </w:r>
      <w:r>
        <w:rPr>
          <w:rFonts w:ascii="Arial" w:hAnsi="Arial" w:cs="Arial"/>
          <w:sz w:val="22"/>
          <w:szCs w:val="22"/>
          <w:lang w:eastAsia="en-US"/>
        </w:rPr>
        <w:t xml:space="preserve">odrum, prizemlje, kat i školska dvorana. Dio zgrade koristi Dječji vrtić Tratinčica Barban. Škola ima 10 učionica, od čega je jedna specijalizirana za informatiku. Školska knjižnica nalazi se na katu, posjeduje </w:t>
      </w:r>
      <w:r>
        <w:rPr>
          <w:rFonts w:ascii="Arial" w:hAnsi="Arial" w:cs="Arial"/>
          <w:sz w:val="22"/>
          <w:szCs w:val="22"/>
          <w:lang w:eastAsia="en-US"/>
        </w:rPr>
        <w:t xml:space="preserve">4332 </w:t>
      </w:r>
      <w:r>
        <w:rPr>
          <w:rFonts w:ascii="Arial" w:hAnsi="Arial" w:cs="Arial"/>
          <w:sz w:val="22"/>
          <w:szCs w:val="22"/>
          <w:lang w:eastAsia="en-US"/>
        </w:rPr>
        <w:t>naslova</w:t>
      </w:r>
      <w:r>
        <w:rPr>
          <w:rFonts w:ascii="Arial" w:hAnsi="Arial" w:cs="Arial"/>
          <w:sz w:val="22"/>
          <w:szCs w:val="22"/>
          <w:lang w:eastAsia="en-US"/>
        </w:rPr>
        <w:t xml:space="preserve">; nakon provedene prošlogodišnje </w:t>
      </w:r>
      <w:r>
        <w:rPr>
          <w:rFonts w:ascii="Arial" w:hAnsi="Arial" w:cs="Arial"/>
          <w:sz w:val="22"/>
          <w:szCs w:val="22"/>
          <w:lang w:eastAsia="en-US"/>
        </w:rPr>
        <w:t>revizije knjižnog fonda.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Djelatnici Škole su odgojno-obrazovni radnici, ravnateljica, stručni suradnici, administrativno i tehničko osoblje te </w:t>
      </w:r>
      <w:r>
        <w:rPr>
          <w:rFonts w:ascii="Arial" w:hAnsi="Arial" w:cs="Arial"/>
          <w:sz w:val="22"/>
          <w:szCs w:val="22"/>
          <w:lang w:eastAsia="en-US"/>
        </w:rPr>
        <w:t xml:space="preserve">troje </w:t>
      </w:r>
      <w:r>
        <w:rPr>
          <w:rFonts w:ascii="Arial" w:hAnsi="Arial" w:cs="Arial"/>
          <w:sz w:val="22"/>
          <w:szCs w:val="22"/>
          <w:lang w:eastAsia="en-US"/>
        </w:rPr>
        <w:t>pomoćnika u nastavi zaposlenih putem projekta Mozaik</w:t>
      </w:r>
      <w:r>
        <w:rPr>
          <w:rFonts w:ascii="Arial" w:hAnsi="Arial" w:cs="Arial"/>
          <w:sz w:val="22"/>
          <w:szCs w:val="22"/>
          <w:lang w:eastAsia="en-US"/>
        </w:rPr>
        <w:t>, te dvoje pomoćnika u nastavi financirani sredstvima Ž</w:t>
      </w:r>
      <w:r>
        <w:rPr>
          <w:rFonts w:ascii="Arial" w:hAnsi="Arial" w:cs="Arial"/>
          <w:sz w:val="22"/>
          <w:szCs w:val="22"/>
          <w:lang w:eastAsia="en-US"/>
        </w:rPr>
        <w:t>upanije.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Odgojno-obrazovni programi realiziraju se u petodnevnom radnom tjednu izvodeći sve oblike nastavnoga i izvannastavnoga rada u jednoj smjeni, produženi boravak od 12.00 do 17.00 te se u prostorima škole u popodnevnoj smjeni odvija rad dislociranih </w:t>
      </w:r>
      <w:r>
        <w:rPr>
          <w:rFonts w:ascii="Arial" w:hAnsi="Arial" w:cs="Arial"/>
          <w:sz w:val="22"/>
          <w:szCs w:val="22"/>
          <w:lang w:eastAsia="en-US"/>
        </w:rPr>
        <w:t xml:space="preserve">odjela Glazbene škole Ivana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Matetića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Ronjgova iz Pule</w:t>
      </w:r>
      <w:r>
        <w:rPr>
          <w:rFonts w:ascii="Arial" w:hAnsi="Arial" w:cs="Arial"/>
          <w:sz w:val="22"/>
          <w:szCs w:val="22"/>
          <w:lang w:eastAsia="en-US"/>
        </w:rPr>
        <w:t>. Za sve učenike putnike organiziran je prijevoz školskim autobusima.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Škola radi na temelju Godišnjeg plana i programa i Školskog kurikuluma.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OPĆI DIO FINANCIJSKOG PLANA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Financijskim planom za 2025. </w:t>
      </w:r>
      <w:r>
        <w:rPr>
          <w:rFonts w:ascii="Arial" w:hAnsi="Arial" w:cs="Arial"/>
          <w:sz w:val="22"/>
          <w:szCs w:val="22"/>
          <w:lang w:eastAsia="en-US"/>
        </w:rPr>
        <w:t>godinu plani</w:t>
      </w:r>
      <w:r>
        <w:rPr>
          <w:rFonts w:ascii="Arial" w:hAnsi="Arial" w:cs="Arial"/>
          <w:sz w:val="22"/>
          <w:szCs w:val="22"/>
          <w:lang w:eastAsia="en-US"/>
        </w:rPr>
        <w:t xml:space="preserve">rano je ukupno </w:t>
      </w:r>
      <w:r>
        <w:rPr>
          <w:rFonts w:ascii="Arial" w:hAnsi="Arial" w:cs="Arial"/>
          <w:sz w:val="22"/>
          <w:szCs w:val="22"/>
          <w:lang w:eastAsia="en-US"/>
        </w:rPr>
        <w:t>1.332.909,15</w:t>
      </w:r>
      <w:r>
        <w:rPr>
          <w:rFonts w:ascii="Arial" w:hAnsi="Arial" w:cs="Arial"/>
          <w:sz w:val="22"/>
          <w:szCs w:val="22"/>
          <w:lang w:eastAsia="en-US"/>
        </w:rPr>
        <w:t xml:space="preserve"> EUR prihoda i primitaka, odnosno rashoda i izdataka.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Prema izvorima financiranja, planirano je ostvarenje sljedećih prihoda i primitaka: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pomoći iz državnog proračuna MZO u iznosu </w:t>
      </w:r>
      <w:r>
        <w:rPr>
          <w:rFonts w:ascii="Arial" w:hAnsi="Arial" w:cs="Arial"/>
          <w:sz w:val="22"/>
          <w:szCs w:val="22"/>
          <w:lang w:eastAsia="en-US"/>
        </w:rPr>
        <w:t>893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916,00</w:t>
      </w:r>
      <w:r>
        <w:rPr>
          <w:rFonts w:ascii="Arial" w:hAnsi="Arial" w:cs="Arial"/>
          <w:sz w:val="22"/>
          <w:szCs w:val="22"/>
          <w:lang w:eastAsia="en-US"/>
        </w:rPr>
        <w:t xml:space="preserve">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pomoći iz državno</w:t>
      </w:r>
      <w:r>
        <w:rPr>
          <w:rFonts w:ascii="Arial" w:hAnsi="Arial" w:cs="Arial"/>
          <w:sz w:val="22"/>
          <w:szCs w:val="22"/>
          <w:lang w:eastAsia="en-US"/>
        </w:rPr>
        <w:t>g proračuna – Ministarstva poljoprivrede  u iznosu od 1.600,00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   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pomoći iz državnog proračuna- Ministarstvo rada, mirovinskog sustava,  obitelji i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soc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.</w:t>
      </w:r>
      <w:r w:rsidR="006C4548">
        <w:rPr>
          <w:rFonts w:ascii="Arial" w:hAnsi="Arial" w:cs="Arial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en-US"/>
        </w:rPr>
        <w:t>politike za proračunske korisnike OŠ u iznosu od 324,45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pomoći iz proračuna temeljem prijen</w:t>
      </w:r>
      <w:r>
        <w:rPr>
          <w:rFonts w:ascii="Arial" w:hAnsi="Arial" w:cs="Arial"/>
          <w:sz w:val="22"/>
          <w:szCs w:val="22"/>
          <w:lang w:eastAsia="en-US"/>
        </w:rPr>
        <w:t xml:space="preserve">osa sredstava EU u iznosu od  </w:t>
      </w:r>
      <w:r>
        <w:rPr>
          <w:rFonts w:ascii="Arial" w:hAnsi="Arial" w:cs="Arial"/>
          <w:sz w:val="22"/>
          <w:szCs w:val="22"/>
          <w:lang w:eastAsia="en-US"/>
        </w:rPr>
        <w:t>36.000,00</w:t>
      </w:r>
      <w:r>
        <w:rPr>
          <w:rFonts w:ascii="Arial" w:hAnsi="Arial" w:cs="Arial"/>
          <w:sz w:val="22"/>
          <w:szCs w:val="22"/>
          <w:lang w:eastAsia="en-US"/>
        </w:rPr>
        <w:t xml:space="preserve">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sredstva iz nadležnog proračuna Istarske županije u iznosu od </w:t>
      </w:r>
      <w:r>
        <w:rPr>
          <w:rFonts w:ascii="Arial" w:hAnsi="Arial" w:cs="Arial"/>
          <w:sz w:val="22"/>
          <w:szCs w:val="22"/>
          <w:lang w:eastAsia="en-US"/>
        </w:rPr>
        <w:t>307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258,70</w:t>
      </w:r>
      <w:r>
        <w:rPr>
          <w:rFonts w:ascii="Arial" w:hAnsi="Arial" w:cs="Arial"/>
          <w:sz w:val="22"/>
          <w:szCs w:val="22"/>
          <w:lang w:eastAsia="en-US"/>
        </w:rPr>
        <w:t xml:space="preserve"> EUR (decentralizirana sredstva i nenamjenski prihodi)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pomoći iz nenadležnog proračuna – Općine Barban u iznosu od </w:t>
      </w:r>
      <w:r>
        <w:rPr>
          <w:rFonts w:ascii="Arial" w:hAnsi="Arial" w:cs="Arial"/>
          <w:sz w:val="22"/>
          <w:szCs w:val="22"/>
          <w:lang w:eastAsia="en-US"/>
        </w:rPr>
        <w:t>40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05</w:t>
      </w:r>
      <w:r>
        <w:rPr>
          <w:rFonts w:ascii="Arial" w:hAnsi="Arial" w:cs="Arial"/>
          <w:sz w:val="22"/>
          <w:szCs w:val="22"/>
          <w:lang w:eastAsia="en-US"/>
        </w:rPr>
        <w:t>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-</w:t>
      </w:r>
      <w:r>
        <w:rPr>
          <w:rFonts w:ascii="Arial" w:hAnsi="Arial" w:cs="Arial"/>
          <w:sz w:val="22"/>
          <w:szCs w:val="22"/>
          <w:lang w:eastAsia="en-US"/>
        </w:rPr>
        <w:tab/>
        <w:t>pomoć</w:t>
      </w:r>
      <w:r>
        <w:rPr>
          <w:rFonts w:ascii="Arial" w:hAnsi="Arial" w:cs="Arial"/>
          <w:sz w:val="22"/>
          <w:szCs w:val="22"/>
          <w:lang w:eastAsia="en-US"/>
        </w:rPr>
        <w:t>i od izvanproračunskih korisnika-Savez sportova</w:t>
      </w:r>
      <w:r>
        <w:rPr>
          <w:rFonts w:ascii="Arial" w:hAnsi="Arial" w:cs="Arial"/>
          <w:sz w:val="22"/>
          <w:szCs w:val="22"/>
          <w:lang w:eastAsia="en-US"/>
        </w:rPr>
        <w:t xml:space="preserve"> IŽ, agencije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 u iznosu od 1.360,00</w:t>
      </w:r>
      <w:r>
        <w:rPr>
          <w:rFonts w:ascii="Arial" w:hAnsi="Arial" w:cs="Arial"/>
          <w:sz w:val="22"/>
          <w:szCs w:val="22"/>
          <w:lang w:eastAsia="en-US"/>
        </w:rPr>
        <w:t xml:space="preserve">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donacija u iznosu od  </w:t>
      </w:r>
      <w:r>
        <w:rPr>
          <w:rFonts w:ascii="Arial" w:hAnsi="Arial" w:cs="Arial"/>
          <w:sz w:val="22"/>
          <w:szCs w:val="22"/>
          <w:lang w:eastAsia="en-US"/>
        </w:rPr>
        <w:t>3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8</w:t>
      </w:r>
      <w:r>
        <w:rPr>
          <w:rFonts w:ascii="Arial" w:hAnsi="Arial" w:cs="Arial"/>
          <w:sz w:val="22"/>
          <w:szCs w:val="22"/>
          <w:lang w:eastAsia="en-US"/>
        </w:rPr>
        <w:t>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vlastiti prihodi od usluga najamnine i osiguranja u iznosu od </w:t>
      </w:r>
      <w:r>
        <w:rPr>
          <w:rFonts w:ascii="Arial" w:hAnsi="Arial" w:cs="Arial"/>
          <w:sz w:val="22"/>
          <w:szCs w:val="22"/>
          <w:lang w:eastAsia="en-US"/>
        </w:rPr>
        <w:t>12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350</w:t>
      </w:r>
      <w:r>
        <w:rPr>
          <w:rFonts w:ascii="Arial" w:hAnsi="Arial" w:cs="Arial"/>
          <w:sz w:val="22"/>
          <w:szCs w:val="22"/>
          <w:lang w:eastAsia="en-US"/>
        </w:rPr>
        <w:t>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sufinanciranje roditelja za rad produženog boravka, </w:t>
      </w:r>
      <w:r>
        <w:rPr>
          <w:rFonts w:ascii="Arial" w:hAnsi="Arial" w:cs="Arial"/>
          <w:sz w:val="22"/>
          <w:szCs w:val="22"/>
          <w:lang w:eastAsia="en-US"/>
        </w:rPr>
        <w:t>š</w:t>
      </w:r>
      <w:r>
        <w:rPr>
          <w:rFonts w:ascii="Arial" w:hAnsi="Arial" w:cs="Arial"/>
          <w:sz w:val="22"/>
          <w:szCs w:val="22"/>
          <w:lang w:eastAsia="en-US"/>
        </w:rPr>
        <w:t xml:space="preserve">kolske </w:t>
      </w:r>
      <w:r>
        <w:rPr>
          <w:rFonts w:ascii="Arial" w:hAnsi="Arial" w:cs="Arial"/>
          <w:sz w:val="22"/>
          <w:szCs w:val="22"/>
          <w:lang w:eastAsia="en-US"/>
        </w:rPr>
        <w:t xml:space="preserve">marende, časopisa, izleta u iznosu od </w:t>
      </w:r>
      <w:r>
        <w:rPr>
          <w:rFonts w:ascii="Arial" w:hAnsi="Arial" w:cs="Arial"/>
          <w:sz w:val="22"/>
          <w:szCs w:val="22"/>
          <w:lang w:eastAsia="en-US"/>
        </w:rPr>
        <w:t>36.25</w:t>
      </w:r>
      <w:r>
        <w:rPr>
          <w:rFonts w:ascii="Arial" w:hAnsi="Arial" w:cs="Arial"/>
          <w:sz w:val="22"/>
          <w:szCs w:val="22"/>
          <w:lang w:eastAsia="en-US"/>
        </w:rPr>
        <w:t>0,00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Iz pomoći od državnog proračuna MZO predviđeno je financiranje: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rashoda za zaposlene u iznosu od </w:t>
      </w:r>
      <w:r>
        <w:rPr>
          <w:rFonts w:ascii="Arial" w:hAnsi="Arial" w:cs="Arial"/>
          <w:sz w:val="22"/>
          <w:szCs w:val="22"/>
          <w:lang w:eastAsia="en-US"/>
        </w:rPr>
        <w:t>818</w:t>
      </w:r>
      <w:r>
        <w:rPr>
          <w:rFonts w:ascii="Arial" w:hAnsi="Arial" w:cs="Arial"/>
          <w:sz w:val="22"/>
          <w:szCs w:val="22"/>
          <w:lang w:eastAsia="en-US"/>
        </w:rPr>
        <w:t>.000,00 EUR (bruto plaće, doprinosi, pomoći, nagrade)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materijalnih rashoda u iznosu </w:t>
      </w:r>
      <w:r>
        <w:rPr>
          <w:rFonts w:ascii="Arial" w:hAnsi="Arial" w:cs="Arial"/>
          <w:sz w:val="22"/>
          <w:szCs w:val="22"/>
          <w:lang w:eastAsia="en-US"/>
        </w:rPr>
        <w:t>od 32</w:t>
      </w:r>
      <w:r>
        <w:rPr>
          <w:rFonts w:ascii="Arial" w:hAnsi="Arial" w:cs="Arial"/>
          <w:sz w:val="22"/>
          <w:szCs w:val="22"/>
          <w:lang w:eastAsia="en-US"/>
        </w:rPr>
        <w:t>.0</w:t>
      </w:r>
      <w:r>
        <w:rPr>
          <w:rFonts w:ascii="Arial" w:hAnsi="Arial" w:cs="Arial"/>
          <w:sz w:val="22"/>
          <w:szCs w:val="22"/>
          <w:lang w:eastAsia="en-US"/>
        </w:rPr>
        <w:t>00,00 EUR (naknade za prijevoz djelatnika i naknada zbog nezapošljavanja invalida)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n</w:t>
      </w:r>
      <w:r>
        <w:rPr>
          <w:rFonts w:ascii="Arial" w:hAnsi="Arial" w:cs="Arial"/>
          <w:sz w:val="22"/>
          <w:szCs w:val="22"/>
          <w:lang w:eastAsia="en-US"/>
        </w:rPr>
        <w:t xml:space="preserve">abave školskih udžbenika u iznosu </w:t>
      </w:r>
      <w:r>
        <w:rPr>
          <w:rFonts w:ascii="Arial" w:hAnsi="Arial" w:cs="Arial"/>
          <w:sz w:val="22"/>
          <w:szCs w:val="22"/>
          <w:lang w:eastAsia="en-US"/>
        </w:rPr>
        <w:t>10</w:t>
      </w:r>
      <w:r>
        <w:rPr>
          <w:rFonts w:ascii="Arial" w:hAnsi="Arial" w:cs="Arial"/>
          <w:sz w:val="22"/>
          <w:szCs w:val="22"/>
          <w:lang w:eastAsia="en-US"/>
        </w:rPr>
        <w:t>.000,00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nabave knjiga za školsku knjižnicu  266,00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 </w:t>
      </w:r>
      <w:r>
        <w:rPr>
          <w:rFonts w:ascii="Arial" w:hAnsi="Arial" w:cs="Arial"/>
          <w:sz w:val="22"/>
          <w:szCs w:val="22"/>
          <w:lang w:eastAsia="en-US"/>
        </w:rPr>
        <w:tab/>
        <w:t>sufinanciranje prehrane učenika OŠ 33.000,00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sufinanciranje izl</w:t>
      </w:r>
      <w:r>
        <w:rPr>
          <w:rFonts w:ascii="Arial" w:hAnsi="Arial" w:cs="Arial"/>
          <w:sz w:val="22"/>
          <w:szCs w:val="22"/>
          <w:lang w:eastAsia="en-US"/>
        </w:rPr>
        <w:t>eta učenika pripadnika nacionalne manjine 150,00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sufinanciranje ostalih programa u iznosu od 500,00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Iz pomoći od proračuna Općine Barban planiraju se podmiriti: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rashodi za zaposlene u produženom boravku u iznosu 2</w:t>
      </w:r>
      <w:r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>.000,00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 </w:t>
      </w:r>
      <w:r>
        <w:rPr>
          <w:rFonts w:ascii="Arial" w:hAnsi="Arial" w:cs="Arial"/>
          <w:sz w:val="22"/>
          <w:szCs w:val="22"/>
          <w:lang w:eastAsia="en-US"/>
        </w:rPr>
        <w:t>rashodi (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Robotrka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nagrade za učenike</w:t>
      </w:r>
      <w:r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izleti) u iznosu </w:t>
      </w:r>
      <w:r>
        <w:rPr>
          <w:rFonts w:ascii="Arial" w:hAnsi="Arial" w:cs="Arial"/>
          <w:sz w:val="22"/>
          <w:szCs w:val="22"/>
          <w:lang w:eastAsia="en-US"/>
        </w:rPr>
        <w:t>3.75</w:t>
      </w:r>
      <w:r>
        <w:rPr>
          <w:rFonts w:ascii="Arial" w:hAnsi="Arial" w:cs="Arial"/>
          <w:sz w:val="22"/>
          <w:szCs w:val="22"/>
          <w:lang w:eastAsia="en-US"/>
        </w:rPr>
        <w:t>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sufinanciranje cijene školske marende po socijalnom programu </w:t>
      </w:r>
      <w:r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>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rashodi za nabavu dugotrajne imovine 1</w:t>
      </w:r>
      <w:r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00,00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Od pomoći iz proračuna temeljem prijenosa sredstava EU pred</w:t>
      </w:r>
      <w:r>
        <w:rPr>
          <w:rFonts w:ascii="Arial" w:hAnsi="Arial" w:cs="Arial"/>
          <w:sz w:val="22"/>
          <w:szCs w:val="22"/>
          <w:lang w:eastAsia="en-US"/>
        </w:rPr>
        <w:t xml:space="preserve">viđeno je financiranje programa MOZAIK </w:t>
      </w:r>
      <w:r>
        <w:rPr>
          <w:rFonts w:ascii="Arial" w:hAnsi="Arial" w:cs="Arial"/>
          <w:sz w:val="22"/>
          <w:szCs w:val="22"/>
          <w:lang w:eastAsia="en-US"/>
        </w:rPr>
        <w:t>7</w:t>
      </w:r>
      <w:r>
        <w:rPr>
          <w:rFonts w:ascii="Arial" w:hAnsi="Arial" w:cs="Arial"/>
          <w:sz w:val="22"/>
          <w:szCs w:val="22"/>
          <w:lang w:eastAsia="en-US"/>
        </w:rPr>
        <w:t xml:space="preserve"> - pomoćnici u nastavi (program traje do </w:t>
      </w:r>
      <w:r>
        <w:rPr>
          <w:rFonts w:ascii="Arial" w:hAnsi="Arial" w:cs="Arial"/>
          <w:sz w:val="22"/>
          <w:szCs w:val="22"/>
          <w:lang w:eastAsia="en-US"/>
        </w:rPr>
        <w:t>31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>kolovoza</w:t>
      </w:r>
      <w:r>
        <w:rPr>
          <w:rFonts w:ascii="Arial" w:hAnsi="Arial" w:cs="Arial"/>
          <w:sz w:val="22"/>
          <w:szCs w:val="22"/>
          <w:lang w:eastAsia="en-US"/>
        </w:rPr>
        <w:t xml:space="preserve"> 202</w:t>
      </w:r>
      <w:r>
        <w:rPr>
          <w:rFonts w:ascii="Arial" w:hAnsi="Arial" w:cs="Arial"/>
          <w:sz w:val="22"/>
          <w:szCs w:val="22"/>
          <w:lang w:eastAsia="en-US"/>
        </w:rPr>
        <w:t>4</w:t>
      </w:r>
      <w:r>
        <w:rPr>
          <w:rFonts w:ascii="Arial" w:hAnsi="Arial" w:cs="Arial"/>
          <w:sz w:val="22"/>
          <w:szCs w:val="22"/>
          <w:lang w:eastAsia="en-US"/>
        </w:rPr>
        <w:t xml:space="preserve">.) u vidu rashoda za zaposlene u iznosu </w:t>
      </w:r>
      <w:r>
        <w:rPr>
          <w:rFonts w:ascii="Arial" w:hAnsi="Arial" w:cs="Arial"/>
          <w:sz w:val="22"/>
          <w:szCs w:val="22"/>
          <w:lang w:eastAsia="en-US"/>
        </w:rPr>
        <w:t>36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000</w:t>
      </w:r>
      <w:r>
        <w:rPr>
          <w:rFonts w:ascii="Arial" w:hAnsi="Arial" w:cs="Arial"/>
          <w:sz w:val="22"/>
          <w:szCs w:val="22"/>
          <w:lang w:eastAsia="en-US"/>
        </w:rPr>
        <w:t>,00 EUR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Ostatak (</w:t>
      </w:r>
      <w:r>
        <w:rPr>
          <w:rFonts w:ascii="Arial" w:hAnsi="Arial" w:cs="Arial"/>
          <w:sz w:val="22"/>
          <w:szCs w:val="22"/>
          <w:lang w:eastAsia="en-US"/>
        </w:rPr>
        <w:t>60</w:t>
      </w:r>
      <w:r>
        <w:rPr>
          <w:rFonts w:ascii="Arial" w:hAnsi="Arial" w:cs="Arial"/>
          <w:sz w:val="22"/>
          <w:szCs w:val="22"/>
          <w:lang w:eastAsia="en-US"/>
        </w:rPr>
        <w:t>%) rashoda za projekt MOZAIK osigurava Županija.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Prihodima iz nadležnog proračuna za </w:t>
      </w:r>
      <w:r>
        <w:rPr>
          <w:rFonts w:ascii="Arial" w:hAnsi="Arial" w:cs="Arial"/>
          <w:sz w:val="22"/>
          <w:szCs w:val="22"/>
          <w:lang w:eastAsia="en-US"/>
        </w:rPr>
        <w:t>financiranje redovne djelatnosti predviđeno je financiranje: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rashodi za zaposlene u iznosu kn </w:t>
      </w:r>
      <w:r>
        <w:rPr>
          <w:rFonts w:ascii="Arial" w:hAnsi="Arial" w:cs="Arial"/>
          <w:sz w:val="22"/>
          <w:szCs w:val="22"/>
          <w:lang w:eastAsia="en-US"/>
        </w:rPr>
        <w:t>94.100</w:t>
      </w:r>
      <w:r>
        <w:rPr>
          <w:rFonts w:ascii="Arial" w:hAnsi="Arial" w:cs="Arial"/>
          <w:sz w:val="22"/>
          <w:szCs w:val="22"/>
          <w:lang w:eastAsia="en-US"/>
        </w:rPr>
        <w:t>,00 EUR (MOZAIK, GOO</w:t>
      </w:r>
      <w:r>
        <w:rPr>
          <w:rFonts w:ascii="Arial" w:hAnsi="Arial" w:cs="Arial"/>
          <w:sz w:val="22"/>
          <w:szCs w:val="22"/>
          <w:lang w:eastAsia="en-US"/>
        </w:rPr>
        <w:t>, PUN, PBO, psiholog</w:t>
      </w:r>
      <w:r>
        <w:rPr>
          <w:rFonts w:ascii="Arial" w:hAnsi="Arial" w:cs="Arial"/>
          <w:sz w:val="22"/>
          <w:szCs w:val="22"/>
          <w:lang w:eastAsia="en-US"/>
        </w:rPr>
        <w:t>)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materijalnih rashoda u iznosu kn </w:t>
      </w:r>
      <w:r>
        <w:rPr>
          <w:rFonts w:ascii="Arial" w:hAnsi="Arial" w:cs="Arial"/>
          <w:sz w:val="22"/>
          <w:szCs w:val="22"/>
          <w:lang w:eastAsia="en-US"/>
        </w:rPr>
        <w:t xml:space="preserve">53.122,41 </w:t>
      </w:r>
      <w:r>
        <w:rPr>
          <w:rFonts w:ascii="Arial" w:hAnsi="Arial" w:cs="Arial"/>
          <w:sz w:val="22"/>
          <w:szCs w:val="22"/>
          <w:lang w:eastAsia="en-US"/>
        </w:rPr>
        <w:t>EUR (minimalni standard, troškovi po kriteriju broja učenika i odje</w:t>
      </w:r>
      <w:r>
        <w:rPr>
          <w:rFonts w:ascii="Arial" w:hAnsi="Arial" w:cs="Arial"/>
          <w:sz w:val="22"/>
          <w:szCs w:val="22"/>
          <w:lang w:eastAsia="en-US"/>
        </w:rPr>
        <w:t>la, po stvarnom trošku iznad standarda- osiguranje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 energija)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financijski rashodi u iznosu od </w:t>
      </w:r>
      <w:r>
        <w:rPr>
          <w:rFonts w:ascii="Arial" w:hAnsi="Arial" w:cs="Arial"/>
          <w:sz w:val="22"/>
          <w:szCs w:val="22"/>
          <w:lang w:eastAsia="en-US"/>
        </w:rPr>
        <w:t>8</w:t>
      </w:r>
      <w:r>
        <w:rPr>
          <w:rFonts w:ascii="Arial" w:hAnsi="Arial" w:cs="Arial"/>
          <w:sz w:val="22"/>
          <w:szCs w:val="22"/>
          <w:lang w:eastAsia="en-US"/>
        </w:rPr>
        <w:t>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troškovi prijevoza učenika u iznosu 1</w:t>
      </w:r>
      <w:r>
        <w:rPr>
          <w:rFonts w:ascii="Arial" w:hAnsi="Arial" w:cs="Arial"/>
          <w:sz w:val="22"/>
          <w:szCs w:val="22"/>
          <w:lang w:eastAsia="en-US"/>
        </w:rPr>
        <w:t>40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210,56</w:t>
      </w:r>
      <w:r>
        <w:rPr>
          <w:rFonts w:ascii="Arial" w:hAnsi="Arial" w:cs="Arial"/>
          <w:sz w:val="22"/>
          <w:szCs w:val="22"/>
          <w:lang w:eastAsia="en-US"/>
        </w:rPr>
        <w:t xml:space="preserve">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rashodi za Zavičajnu nastavu u iznosu od </w:t>
      </w:r>
      <w:r>
        <w:rPr>
          <w:rFonts w:ascii="Arial" w:hAnsi="Arial" w:cs="Arial"/>
          <w:sz w:val="22"/>
          <w:szCs w:val="22"/>
          <w:lang w:eastAsia="en-US"/>
        </w:rPr>
        <w:t>1.30</w:t>
      </w:r>
      <w:r>
        <w:rPr>
          <w:rFonts w:ascii="Arial" w:hAnsi="Arial" w:cs="Arial"/>
          <w:sz w:val="22"/>
          <w:szCs w:val="22"/>
          <w:lang w:eastAsia="en-US"/>
        </w:rPr>
        <w:t>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>nabave knjiga za školsku knjižnicu  320,</w:t>
      </w:r>
      <w:r>
        <w:rPr>
          <w:rFonts w:ascii="Arial" w:hAnsi="Arial" w:cs="Arial"/>
          <w:sz w:val="22"/>
          <w:szCs w:val="22"/>
          <w:lang w:eastAsia="en-US"/>
        </w:rPr>
        <w:t>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ab/>
        <w:t>troškovi ulaganja u osnovnu školu 16.000,00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ab/>
        <w:t>troškovi uzorkovanja vode i upravljanje rizicima 1.405,73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Prihodima za posebne namjene – sufinanciranja roditelja (za školsku prehranu, produženi boravak, časopise i izlete) predviđeno je fi</w:t>
      </w:r>
      <w:r>
        <w:rPr>
          <w:rFonts w:ascii="Arial" w:hAnsi="Arial" w:cs="Arial"/>
          <w:sz w:val="22"/>
          <w:szCs w:val="22"/>
          <w:lang w:eastAsia="en-US"/>
        </w:rPr>
        <w:t>nanciranje slijedećih rashoda: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 rashodi u iznosu od </w:t>
      </w:r>
      <w:r>
        <w:rPr>
          <w:rFonts w:ascii="Arial" w:hAnsi="Arial" w:cs="Arial"/>
          <w:sz w:val="22"/>
          <w:szCs w:val="22"/>
          <w:lang w:eastAsia="en-US"/>
        </w:rPr>
        <w:t>26</w:t>
      </w:r>
      <w:r>
        <w:rPr>
          <w:rFonts w:ascii="Arial" w:hAnsi="Arial" w:cs="Arial"/>
          <w:sz w:val="22"/>
          <w:szCs w:val="22"/>
          <w:lang w:eastAsia="en-US"/>
        </w:rPr>
        <w:t>.5</w:t>
      </w:r>
      <w:r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>0,00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rashodi za zaposlene u iznosu kn </w:t>
      </w:r>
      <w:r>
        <w:rPr>
          <w:rFonts w:ascii="Arial" w:hAnsi="Arial" w:cs="Arial"/>
          <w:sz w:val="22"/>
          <w:szCs w:val="22"/>
          <w:lang w:eastAsia="en-US"/>
        </w:rPr>
        <w:t>9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7</w:t>
      </w:r>
      <w:r>
        <w:rPr>
          <w:rFonts w:ascii="Arial" w:hAnsi="Arial" w:cs="Arial"/>
          <w:sz w:val="22"/>
          <w:szCs w:val="22"/>
          <w:lang w:eastAsia="en-US"/>
        </w:rPr>
        <w:t>00,00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Prihodima od prodaje proizvoda i usluga (vlastitim prihodima) predviđeno je financiranje: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materijalnih rashoda u iznosu od </w:t>
      </w:r>
      <w:r>
        <w:rPr>
          <w:rFonts w:ascii="Arial" w:hAnsi="Arial" w:cs="Arial"/>
          <w:sz w:val="22"/>
          <w:szCs w:val="22"/>
          <w:lang w:eastAsia="en-US"/>
        </w:rPr>
        <w:t>10.</w:t>
      </w:r>
      <w:r>
        <w:rPr>
          <w:rFonts w:ascii="Arial" w:hAnsi="Arial" w:cs="Arial"/>
          <w:sz w:val="22"/>
          <w:szCs w:val="22"/>
          <w:lang w:eastAsia="en-US"/>
        </w:rPr>
        <w:t>250,00</w:t>
      </w:r>
      <w:r>
        <w:rPr>
          <w:rFonts w:ascii="Arial" w:hAnsi="Arial" w:cs="Arial"/>
          <w:sz w:val="22"/>
          <w:szCs w:val="22"/>
          <w:lang w:eastAsia="en-US"/>
        </w:rPr>
        <w:t xml:space="preserve"> EUR 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ab/>
        <w:t>rashoda za nabavu dugotrajne imovine 2.100,00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Prihodima od izvan proračunskih korisnika (Savez sportova IŽ</w:t>
      </w:r>
      <w:r>
        <w:rPr>
          <w:rFonts w:ascii="Arial" w:hAnsi="Arial" w:cs="Arial"/>
          <w:sz w:val="22"/>
          <w:szCs w:val="22"/>
          <w:lang w:eastAsia="en-US"/>
        </w:rPr>
        <w:t>, agencije</w:t>
      </w:r>
      <w:r>
        <w:rPr>
          <w:rFonts w:ascii="Arial" w:hAnsi="Arial" w:cs="Arial"/>
          <w:sz w:val="22"/>
          <w:szCs w:val="22"/>
          <w:lang w:eastAsia="en-US"/>
        </w:rPr>
        <w:t>)  planirano je financiranje: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materijalnih rashoda u iznosu od </w:t>
      </w:r>
      <w:r>
        <w:rPr>
          <w:rFonts w:ascii="Arial" w:hAnsi="Arial" w:cs="Arial"/>
          <w:sz w:val="22"/>
          <w:szCs w:val="22"/>
          <w:lang w:eastAsia="en-US"/>
        </w:rPr>
        <w:t>1.360,00</w:t>
      </w:r>
      <w:r>
        <w:rPr>
          <w:rFonts w:ascii="Arial" w:hAnsi="Arial" w:cs="Arial"/>
          <w:sz w:val="22"/>
          <w:szCs w:val="22"/>
          <w:lang w:eastAsia="en-US"/>
        </w:rPr>
        <w:t xml:space="preserve">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Prihodima od državnog proračuna – </w:t>
      </w:r>
      <w:r>
        <w:rPr>
          <w:rFonts w:ascii="Arial" w:hAnsi="Arial" w:cs="Arial"/>
          <w:sz w:val="22"/>
          <w:szCs w:val="22"/>
          <w:lang w:eastAsia="en-US"/>
        </w:rPr>
        <w:t>Ministarstvo poljoprivrede (Projekti Medni dani i Školska shema) planirano je financiranje: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materijalnih rashoda u iznosu 1.600,00 EUR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Planirani prihodi od donacija koristiti će se prema namjeni u iznosu od </w:t>
      </w:r>
      <w:r>
        <w:rPr>
          <w:rFonts w:ascii="Arial" w:hAnsi="Arial" w:cs="Arial"/>
          <w:sz w:val="22"/>
          <w:szCs w:val="22"/>
          <w:lang w:eastAsia="en-US"/>
        </w:rPr>
        <w:t>3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8</w:t>
      </w:r>
      <w:r>
        <w:rPr>
          <w:rFonts w:ascii="Arial" w:hAnsi="Arial" w:cs="Arial"/>
          <w:sz w:val="22"/>
          <w:szCs w:val="22"/>
          <w:lang w:eastAsia="en-US"/>
        </w:rPr>
        <w:t>00,00 EUR za: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ab/>
        <w:t>materijalne rashode 1.700</w:t>
      </w:r>
      <w:r>
        <w:rPr>
          <w:rFonts w:ascii="Arial" w:hAnsi="Arial" w:cs="Arial"/>
          <w:sz w:val="22"/>
          <w:szCs w:val="22"/>
          <w:lang w:eastAsia="en-US"/>
        </w:rPr>
        <w:t>,00 EUR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rashode za nabavu dugotrajne imovine </w:t>
      </w:r>
      <w:r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>00,00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Prihodima Ministarstva rada, mirovinskog sustava, obitelji i socijalne politike za proračunske korisnike financirati će se nabava menstrualnih i higijenskih potrepština u iznosu od 324,45 EUR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Planirani višak u iznosu od 3.250,00 EUR na aktivnostima školske kuhinje i produženi boravak biti će utrošen namjenski.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POSEBNI DIO FINANCIJSKOG PLANA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 nastavku se navode programi, aktivnosti i projekti obuhvaćeni financijskim planom, kao i pripadajuć</w:t>
      </w:r>
      <w:r>
        <w:rPr>
          <w:rFonts w:ascii="Arial" w:hAnsi="Arial" w:cs="Arial"/>
          <w:sz w:val="22"/>
          <w:szCs w:val="22"/>
          <w:lang w:eastAsia="en-US"/>
        </w:rPr>
        <w:t>i ciljevi i pokazatelji uspješnosti iz strateškog dokumenta Provedbeni program Istarske županije 2022. – 2025.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1.  NAZIV PROGRAMA - 2101 REDOVNA DJELATNOST OSNOVNIH ŠKOLA – MINIMALNI STANDARD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1.1. NAZIV AKTIVNOSTI I PROJEKATA 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A210101 Materijalni rashodi OŠ po kriterijima; A210102 Materijalni rashodi OŠ po stvarnom trošku ; A210103 Materijalni rashodi OŠ po stvarnom trošku – drugi izvori; A210104 Plaće i drugi rashodi za zaposlene osnovnih škola.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</w:t>
      </w:r>
      <w:r>
        <w:rPr>
          <w:rFonts w:ascii="Arial" w:hAnsi="Arial" w:cs="Arial"/>
          <w:bCs/>
          <w:sz w:val="22"/>
          <w:szCs w:val="22"/>
        </w:rPr>
        <w:t>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proračunskim klasifikacijama (NN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Upute za izradu Proračuna Istarske županije za 2025.-2027. godine (Kl. 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kriterijima, mjerilima i načinu financiranja decentraliziranih funkcija osnovn</w:t>
      </w:r>
      <w:r>
        <w:rPr>
          <w:rFonts w:ascii="Arial" w:hAnsi="Arial" w:cs="Arial"/>
          <w:bCs/>
          <w:sz w:val="22"/>
          <w:szCs w:val="22"/>
        </w:rPr>
        <w:t>og školstva za 2024. godinu – Skupština Istarske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izvođenju izleta,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</w:t>
      </w:r>
      <w:r>
        <w:rPr>
          <w:rFonts w:ascii="Arial" w:hAnsi="Arial" w:cs="Arial"/>
          <w:bCs/>
          <w:sz w:val="22"/>
          <w:szCs w:val="22"/>
        </w:rPr>
        <w:t>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program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</w:t>
      </w:r>
      <w:r>
        <w:rPr>
          <w:rFonts w:ascii="Arial" w:hAnsi="Arial" w:cs="Arial"/>
          <w:bCs/>
          <w:sz w:val="22"/>
          <w:szCs w:val="22"/>
        </w:rPr>
        <w:t>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plaćama u državnoj službi i javnim službama (NN 155/23)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:rsidR="001F6839" w:rsidRDefault="001F6839">
      <w:pPr>
        <w:pStyle w:val="Default"/>
        <w:jc w:val="both"/>
        <w:rPr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 A210101: MATERIJALNI RASHODI OŠ PO KRITERIJIMA 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Redovna djelatnost škola financirana je iz decentralizira</w:t>
      </w:r>
      <w:r>
        <w:rPr>
          <w:rFonts w:ascii="Arial" w:hAnsi="Arial" w:cs="Arial"/>
          <w:sz w:val="22"/>
          <w:szCs w:val="22"/>
        </w:rPr>
        <w:t>nih sredstava IŽ iz koje se financiraju materijalni i financijski rashodi, rashodi za materijal i dijelove za tekuće i investicijsko održavanje, usluge tekućeg i investicijskog održavanja. Izračun mjesečne dotacije provodi se na temelju izračuna po broju u</w:t>
      </w:r>
      <w:r>
        <w:rPr>
          <w:rFonts w:ascii="Arial" w:hAnsi="Arial" w:cs="Arial"/>
          <w:sz w:val="22"/>
          <w:szCs w:val="22"/>
        </w:rPr>
        <w:t>čenika</w:t>
      </w:r>
      <w:r>
        <w:rPr>
          <w:rFonts w:ascii="Arial" w:hAnsi="Arial" w:cs="Arial"/>
          <w:sz w:val="22"/>
          <w:szCs w:val="22"/>
        </w:rPr>
        <w:t xml:space="preserve"> (5,04 EUR po učeniku)</w:t>
      </w:r>
      <w:r>
        <w:rPr>
          <w:rFonts w:ascii="Arial" w:hAnsi="Arial" w:cs="Arial"/>
          <w:sz w:val="22"/>
          <w:szCs w:val="22"/>
        </w:rPr>
        <w:t>, broju razrednih odjela</w:t>
      </w:r>
      <w:r>
        <w:rPr>
          <w:rFonts w:ascii="Arial" w:hAnsi="Arial" w:cs="Arial"/>
          <w:sz w:val="22"/>
          <w:szCs w:val="22"/>
        </w:rPr>
        <w:t>(39,82 EUR po odjelu)</w:t>
      </w:r>
      <w:r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</w:t>
      </w:r>
      <w:r>
        <w:rPr>
          <w:rFonts w:ascii="Arial" w:hAnsi="Arial" w:cs="Arial"/>
          <w:sz w:val="22"/>
          <w:szCs w:val="22"/>
        </w:rPr>
        <w:t>a (265,45eur)</w:t>
      </w:r>
      <w:r>
        <w:rPr>
          <w:rFonts w:ascii="Arial" w:hAnsi="Arial" w:cs="Arial"/>
          <w:sz w:val="22"/>
          <w:szCs w:val="22"/>
        </w:rPr>
        <w:t xml:space="preserve">. Sredstva se troše namjenski i to samo za financiranje materijalnih i financijskih rashoda (prema ekonomskoj klasifikaciji) nužnih za realizaciju </w:t>
      </w:r>
      <w:r>
        <w:rPr>
          <w:rFonts w:ascii="Arial" w:hAnsi="Arial" w:cs="Arial"/>
          <w:sz w:val="22"/>
          <w:szCs w:val="22"/>
        </w:rPr>
        <w:lastRenderedPageBreak/>
        <w:t xml:space="preserve">nastavnog </w:t>
      </w:r>
      <w:r>
        <w:rPr>
          <w:rFonts w:ascii="Arial" w:hAnsi="Arial" w:cs="Arial"/>
          <w:sz w:val="22"/>
          <w:szCs w:val="22"/>
        </w:rPr>
        <w:t>plana i programa</w:t>
      </w:r>
      <w:r>
        <w:rPr>
          <w:rFonts w:ascii="Arial" w:hAnsi="Arial" w:cs="Arial"/>
          <w:sz w:val="22"/>
          <w:szCs w:val="22"/>
        </w:rPr>
        <w:t>, sukladno s Odlukom o kriterijima, mjerilima i načinu financiranja decentraliziranih funkcija osnovnog školstva za 2024. godinu)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 A210102 MATERIJALNI RASHODI OŠ PO STVARNOM TROŠKU 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ovoj aktivnosti planirani su materijalni rasho</w:t>
      </w:r>
      <w:r>
        <w:rPr>
          <w:rFonts w:ascii="Arial" w:hAnsi="Arial" w:cs="Arial"/>
          <w:sz w:val="22"/>
          <w:szCs w:val="22"/>
        </w:rPr>
        <w:t>di škole po stvarnom trošku, a odnose se na zdravstvene preglede djelatnika i prijevoz učenika. Troškovi se podmiruju iz decentraliziranih sredstava IŽ.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 A210103 MATERIJALNI RASHODI OŠ PO STVARNOM TROŠKU - DRUGI IZVORI 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Ovom aktivnošću obuhvaćeno</w:t>
      </w:r>
      <w:r>
        <w:rPr>
          <w:rFonts w:ascii="Arial" w:hAnsi="Arial" w:cs="Arial"/>
          <w:sz w:val="22"/>
          <w:szCs w:val="22"/>
        </w:rPr>
        <w:t xml:space="preserve"> je financiranje dijela materijalnih troškova iz vlastitih prihoda škole te prihoda od osiguravajućeg društva.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A210104 PLAĆE I DRUGI RASHODI ZA ZAPOSLENE OŠ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se odnosi na troškove plaća, ostale rashode za zaposlene (prigodne nagrade i p</w:t>
      </w:r>
      <w:r>
        <w:rPr>
          <w:rFonts w:ascii="Arial" w:hAnsi="Arial" w:cs="Arial"/>
          <w:sz w:val="22"/>
          <w:szCs w:val="22"/>
        </w:rPr>
        <w:t>omoći), doprinose iz i na plaću i  naknade za prijevoz, a podmiruju se iz državnog proračuna, odnosno nadležnog ministarstva za obrazovanje.</w:t>
      </w:r>
      <w:r>
        <w:rPr>
          <w:rFonts w:ascii="Arial" w:hAnsi="Arial" w:cs="Arial"/>
          <w:sz w:val="22"/>
          <w:szCs w:val="22"/>
        </w:rPr>
        <w:t xml:space="preserve"> Za 2025. godinu uključena je i tzv. trinaesta plaća zbog ukidanja podskupine konta 193.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USPJEŠNOSTI – provođenje mjera </w:t>
      </w:r>
      <w:r>
        <w:rPr>
          <w:rFonts w:ascii="Arial" w:hAnsi="Arial" w:cs="Arial"/>
          <w:color w:val="000000"/>
          <w:sz w:val="22"/>
          <w:szCs w:val="22"/>
        </w:rPr>
        <w:t>2.1.2. Osiguranje i poboljšanje dostupnosti odgoja i obrazovanja djeci i njihovim roditeljima</w:t>
      </w:r>
      <w:r>
        <w:rPr>
          <w:rFonts w:ascii="Arial" w:hAnsi="Arial" w:cs="Arial"/>
          <w:color w:val="000000"/>
          <w:sz w:val="22"/>
          <w:szCs w:val="22"/>
        </w:rPr>
        <w:t xml:space="preserve">-za aktivnosti A210101, A210102, A210103 </w:t>
      </w:r>
      <w:r>
        <w:rPr>
          <w:rFonts w:ascii="Arial" w:hAnsi="Arial" w:cs="Arial"/>
          <w:color w:val="000000"/>
          <w:sz w:val="22"/>
          <w:szCs w:val="22"/>
        </w:rPr>
        <w:t xml:space="preserve"> i 2.1.8. Osiguranje kvalitetnog odgojno obrazovnog kadra i suradnje ključnih aktera 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za aktivnost A210104 </w:t>
      </w:r>
      <w:r>
        <w:rPr>
          <w:rFonts w:ascii="Arial" w:hAnsi="Arial" w:cs="Arial"/>
          <w:color w:val="000000"/>
          <w:sz w:val="22"/>
          <w:szCs w:val="22"/>
        </w:rPr>
        <w:t>iz Provedbenog programa Istarske županije 2022 – 2025. godine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Procijenjeni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trošak 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2.1.2. Osiguranje i poboljšanje dostupnosti odgoja 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obrazovanja djeci i njihovim roditeljima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A210101; A210102; A210103;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841,80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1F6839">
        <w:trPr>
          <w:trHeight w:val="217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2.1.8. Osiguranje kvalitetnog odgojno obrazovnog kadra I suradnje ključnih aktera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2101 Redovna djelatnost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osnovnih škola - minimalni standard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A210104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.000,00 EUR</w:t>
            </w:r>
          </w:p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F6839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1.014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841,80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mjeru 2.1.2 </w:t>
      </w:r>
      <w:r>
        <w:rPr>
          <w:rFonts w:ascii="Arial" w:hAnsi="Arial" w:cs="Arial"/>
          <w:color w:val="000000"/>
          <w:sz w:val="22"/>
          <w:szCs w:val="22"/>
        </w:rPr>
        <w:t>Osiguranje i poboljšanje dostupnosti odgoja i obrazovanja djeci i njihovim roditeljima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2840"/>
        <w:gridCol w:w="1118"/>
        <w:gridCol w:w="1631"/>
        <w:gridCol w:w="1197"/>
        <w:gridCol w:w="1268"/>
        <w:gridCol w:w="240"/>
      </w:tblGrid>
      <w:tr w:rsidR="001F6839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Pokazatelj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rezultata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1F6839">
        <w:trPr>
          <w:trHeight w:val="718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67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 materijalnih troškova potrebnih za nesmetano odvijanje nastavnog procesa -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19.729,12 EUR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prijevoza učenika, zdravstvenih pregleda djelatnika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112.122,00 EUR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mjeru 2.1.8 </w:t>
      </w:r>
      <w:r>
        <w:rPr>
          <w:rFonts w:ascii="Arial" w:hAnsi="Arial" w:cs="Arial"/>
          <w:color w:val="000000"/>
          <w:sz w:val="22"/>
          <w:szCs w:val="22"/>
        </w:rPr>
        <w:t>Osiguranje kvalitetnog odgojno obrazovnog kadra i suradnje ključnih aktera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365"/>
        <w:gridCol w:w="1384"/>
        <w:gridCol w:w="1191"/>
        <w:gridCol w:w="1268"/>
        <w:gridCol w:w="1292"/>
      </w:tblGrid>
      <w:tr w:rsidR="001F6839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Pokazatelj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–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broj zaposlenih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Ciljane vrijednosti </w:t>
            </w:r>
          </w:p>
        </w:tc>
      </w:tr>
      <w:tr w:rsidR="001F6839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F6839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Redovna isplata plaća i drugih rashoda za zaposlene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</w:tbl>
    <w:p w:rsidR="001F6839" w:rsidRDefault="001F683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1F6839" w:rsidRDefault="001F683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 NAZIV PROGRAMA: 2102 REDOVNA DJELATNOST OSNOVNIH ŠKOLA – IZNAD STANDARDA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2.1. NAZIV AKTIVNOSTI I PROJEKATA 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A210201 Materijalni rashodi OŠ po stvarnom trošku iznad standarda;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odgoju i obrazovanju u osnovnoj i srednjoj školi (</w:t>
      </w:r>
      <w:r>
        <w:rPr>
          <w:rFonts w:ascii="Arial" w:hAnsi="Arial" w:cs="Arial"/>
          <w:bCs/>
          <w:sz w:val="22"/>
          <w:szCs w:val="22"/>
        </w:rPr>
        <w:t xml:space="preserve">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proračunskim klasifikacijama (NN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Upute za izradu Proračuna Istarske županije za 2025.-2027. godine (Kl. </w:t>
      </w:r>
      <w:r>
        <w:rPr>
          <w:rFonts w:ascii="Arial" w:hAnsi="Arial" w:cs="Arial"/>
          <w:bCs/>
          <w:sz w:val="22"/>
          <w:szCs w:val="22"/>
        </w:rPr>
        <w:t>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kriterijima, mjerilima i načinu financiranja decentraliziranih funkcija osnovnog školstva za 2024. godinu – Skupština Istarske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izvođenju i</w:t>
      </w:r>
      <w:r>
        <w:rPr>
          <w:rFonts w:ascii="Arial" w:hAnsi="Arial" w:cs="Arial"/>
          <w:bCs/>
          <w:sz w:val="22"/>
          <w:szCs w:val="22"/>
        </w:rPr>
        <w:t xml:space="preserve">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program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</w:t>
      </w:r>
      <w:r>
        <w:rPr>
          <w:rFonts w:ascii="Arial" w:hAnsi="Arial" w:cs="Arial"/>
          <w:bCs/>
          <w:sz w:val="22"/>
          <w:szCs w:val="22"/>
        </w:rPr>
        <w:t>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plaćama u državnoj službi i javnim službama (NN 155/23)</w:t>
      </w:r>
    </w:p>
    <w:p w:rsidR="001F6839" w:rsidRDefault="001F68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F6839" w:rsidRDefault="001F6839">
      <w:pPr>
        <w:pStyle w:val="Default"/>
        <w:jc w:val="both"/>
        <w:rPr>
          <w:sz w:val="22"/>
          <w:szCs w:val="22"/>
        </w:rPr>
      </w:pP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OBRAZLOŽENJE </w:t>
      </w:r>
      <w:r>
        <w:rPr>
          <w:sz w:val="22"/>
          <w:szCs w:val="22"/>
        </w:rPr>
        <w:t>AKTIVNOSTI I PROJEKATA</w:t>
      </w:r>
    </w:p>
    <w:p w:rsidR="001F6839" w:rsidRDefault="0085716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Aktivnost Materijalni rashodi OŠ po stvarnom trošku iznad standarda obuhvaća financiranje troškova energenata (električna energija i lož ulje), troškova osiguranja imovine i osoba radi neometanog odvijanja nastavnog procesa</w:t>
      </w:r>
      <w:r>
        <w:rPr>
          <w:rFonts w:ascii="Arial" w:eastAsia="Calibri" w:hAnsi="Arial" w:cs="Arial"/>
          <w:sz w:val="22"/>
          <w:szCs w:val="22"/>
        </w:rPr>
        <w:t xml:space="preserve"> te dio tr</w:t>
      </w:r>
      <w:r>
        <w:rPr>
          <w:rFonts w:ascii="Arial" w:eastAsia="Calibri" w:hAnsi="Arial" w:cs="Arial"/>
          <w:sz w:val="22"/>
          <w:szCs w:val="22"/>
        </w:rPr>
        <w:t>oškova tekućeg i investicijskog održavanja. Prošle godine aktivnost je uključivala i dio troškova prijevoza učenika.</w:t>
      </w:r>
      <w:r>
        <w:rPr>
          <w:rFonts w:ascii="Arial" w:eastAsia="Calibri" w:hAnsi="Arial" w:cs="Arial"/>
          <w:sz w:val="22"/>
          <w:szCs w:val="22"/>
        </w:rPr>
        <w:t xml:space="preserve"> Sredstva se osiguravaju iz županijskog proračuna. </w:t>
      </w:r>
    </w:p>
    <w:p w:rsidR="001F6839" w:rsidRDefault="001F6839">
      <w:pPr>
        <w:jc w:val="both"/>
        <w:rPr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USPJEŠNOSTI – provođenje mjera </w:t>
      </w:r>
      <w:r>
        <w:rPr>
          <w:rFonts w:ascii="Arial" w:hAnsi="Arial" w:cs="Arial"/>
          <w:color w:val="000000"/>
          <w:sz w:val="22"/>
          <w:szCs w:val="22"/>
        </w:rPr>
        <w:t xml:space="preserve">2.1.2. Osiguranje i poboljšanje dostupnosti odgoja </w:t>
      </w:r>
      <w:r>
        <w:rPr>
          <w:rFonts w:ascii="Arial" w:hAnsi="Arial" w:cs="Arial"/>
          <w:color w:val="000000"/>
          <w:sz w:val="22"/>
          <w:szCs w:val="22"/>
        </w:rPr>
        <w:t xml:space="preserve">i obrazovanja djeci i njihovim roditeljima 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PAMETNA REGIJA ZNANJA PREPOZNATLJIVA PO VISOKOJ KVALITETI ŽIVOTA, DOSTUPNOM OBRAZOVANJU I UKLJUČIVOSTI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6839">
        <w:trPr>
          <w:trHeight w:val="84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2.1.2. Osiguranje i poboljšanje dostupnosti odgoja i obrazovanja djeci i njihovim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roditeljima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Redovna djelatnost osnovnih škola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iznad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A210201;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33.391,17</w:t>
            </w:r>
          </w:p>
        </w:tc>
      </w:tr>
      <w:tr w:rsidR="001F6839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33.391,17</w:t>
            </w:r>
          </w:p>
        </w:tc>
      </w:tr>
    </w:tbl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mjeru 2.1.2 </w:t>
      </w:r>
      <w:r>
        <w:rPr>
          <w:rFonts w:ascii="Arial" w:hAnsi="Arial" w:cs="Arial"/>
          <w:color w:val="000000"/>
          <w:sz w:val="22"/>
          <w:szCs w:val="22"/>
        </w:rPr>
        <w:t xml:space="preserve">Osiguranje i poboljšanje dostupnosti odgoja i obrazovanja djeci i njihovim </w:t>
      </w:r>
      <w:r>
        <w:rPr>
          <w:rFonts w:ascii="Arial" w:hAnsi="Arial" w:cs="Arial"/>
          <w:color w:val="000000"/>
          <w:sz w:val="22"/>
          <w:szCs w:val="22"/>
        </w:rPr>
        <w:t>roditeljima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2846"/>
        <w:gridCol w:w="1260"/>
        <w:gridCol w:w="1489"/>
        <w:gridCol w:w="1191"/>
        <w:gridCol w:w="1268"/>
        <w:gridCol w:w="240"/>
      </w:tblGrid>
      <w:tr w:rsidR="001F6839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1F6839">
        <w:trPr>
          <w:trHeight w:val="397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energenata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premije osiguranja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dijela troškova prijevoza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 nesmetano odvijanje nastavnog procesa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68.417,00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33.391,17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33.391,17,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33.391,17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F6839" w:rsidRDefault="001F6839">
      <w:pPr>
        <w:jc w:val="both"/>
        <w:rPr>
          <w:rFonts w:ascii="Arial" w:eastAsia="Calibri" w:hAnsi="Arial" w:cs="Arial"/>
          <w:sz w:val="22"/>
          <w:szCs w:val="22"/>
        </w:rPr>
      </w:pPr>
    </w:p>
    <w:p w:rsidR="001F6839" w:rsidRDefault="001F6839">
      <w:pPr>
        <w:jc w:val="both"/>
        <w:rPr>
          <w:rFonts w:ascii="Arial" w:eastAsia="Calibri" w:hAnsi="Arial" w:cs="Arial"/>
          <w:sz w:val="22"/>
          <w:szCs w:val="22"/>
        </w:rPr>
      </w:pPr>
    </w:p>
    <w:p w:rsidR="001F6839" w:rsidRDefault="0085716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3. NAZIV PROGRAMA: 2301 PROGRAMI OBRAZOVANJA IZNAD STANDARDA</w:t>
      </w:r>
    </w:p>
    <w:p w:rsidR="001F6839" w:rsidRDefault="001F6839">
      <w:pPr>
        <w:rPr>
          <w:rFonts w:ascii="Arial" w:eastAsia="Calibri" w:hAnsi="Arial" w:cs="Arial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3.1. NAZIV AKTIVNOSTI I PROJEKATA 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A230102 Županijska natjecanja; A230106 Školska kuhinja; A230107 Produženi boravak; A230112 Robotika;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A230115 Ostali programi,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A230116  Školski list, časopisi i knjige; A230119 Nagrade za učenike; A230163 Izleti i terenska nastava; A230170 Učenička zadruga; A230184 Zavičajna nastava; A230199 Shema školskog voća i mlijeka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</w:t>
      </w:r>
      <w:r>
        <w:rPr>
          <w:rFonts w:ascii="Arial" w:hAnsi="Arial" w:cs="Arial"/>
          <w:bCs/>
          <w:sz w:val="22"/>
          <w:szCs w:val="22"/>
        </w:rPr>
        <w:t>n o 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proračunskim klasifikacijama (</w:t>
      </w:r>
      <w:r>
        <w:rPr>
          <w:rFonts w:ascii="Arial" w:hAnsi="Arial" w:cs="Arial"/>
          <w:bCs/>
          <w:sz w:val="22"/>
          <w:szCs w:val="22"/>
        </w:rPr>
        <w:t xml:space="preserve">NN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Upute za izradu Proračuna Istarske županije za 2025.-2027. godine (Kl. 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Odluka o kriterijima, mjerilima i načinu financiranja decentraliziranih funkcija osnovnog školstva za 2024. godinu – Skupština </w:t>
      </w:r>
      <w:r>
        <w:rPr>
          <w:rFonts w:ascii="Arial" w:hAnsi="Arial" w:cs="Arial"/>
          <w:bCs/>
          <w:sz w:val="22"/>
          <w:szCs w:val="22"/>
        </w:rPr>
        <w:t>Istarske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izvođenju izleta,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</w:t>
      </w:r>
      <w:r>
        <w:rPr>
          <w:rFonts w:ascii="Arial" w:hAnsi="Arial" w:cs="Arial"/>
          <w:bCs/>
          <w:sz w:val="22"/>
          <w:szCs w:val="22"/>
        </w:rPr>
        <w:t xml:space="preserve"> program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akon o plaćama u državnoj službi i javnim službama (NN 155/23)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Zaključak o sufinanciranju programa produženog boravka u školskoj godini 2024./25. (kl. 602-02/24-02/289, ur.br. 2163-05/4-24-10) – Istarska županija</w:t>
      </w:r>
    </w:p>
    <w:p w:rsidR="001F6839" w:rsidRDefault="001F683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Osim  </w:t>
      </w:r>
      <w:r>
        <w:rPr>
          <w:rFonts w:ascii="Arial" w:hAnsi="Arial" w:cs="Arial"/>
          <w:sz w:val="22"/>
          <w:szCs w:val="22"/>
        </w:rPr>
        <w:t>redovne nastave u školi se njeguju i drugi oblici rada u kojima su naši učenici vrlo uspješni. Redovni program daje samo osnovno znanje i smjernice, dok sve ostale aktivnosti po čemu je škola prepoznatljiva i raznovrsnija od ostalih čini skupina izbornih i</w:t>
      </w:r>
      <w:r>
        <w:rPr>
          <w:rFonts w:ascii="Arial" w:hAnsi="Arial" w:cs="Arial"/>
          <w:sz w:val="22"/>
          <w:szCs w:val="22"/>
        </w:rPr>
        <w:t xml:space="preserve"> dodatnih programa, koji se održavaju tijekom cijele školske godine. Programi iznad standarda financirani su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strane roditelja</w:t>
      </w:r>
      <w:r>
        <w:rPr>
          <w:rFonts w:ascii="Arial" w:hAnsi="Arial" w:cs="Arial"/>
          <w:sz w:val="22"/>
          <w:szCs w:val="22"/>
        </w:rPr>
        <w:t xml:space="preserve">, iz </w:t>
      </w:r>
      <w:r>
        <w:rPr>
          <w:rFonts w:ascii="Arial" w:hAnsi="Arial" w:cs="Arial"/>
          <w:sz w:val="22"/>
          <w:szCs w:val="22"/>
        </w:rPr>
        <w:t>Proračuna Općine Barban</w:t>
      </w:r>
      <w:r>
        <w:rPr>
          <w:rFonts w:ascii="Arial" w:hAnsi="Arial" w:cs="Arial"/>
          <w:sz w:val="22"/>
          <w:szCs w:val="22"/>
        </w:rPr>
        <w:t>, Proračuna MZOŠ-a, Ministarstva poljoprivreda i Ministarstva rada, mirovinskog sustava , obitelji i</w:t>
      </w:r>
      <w:r>
        <w:rPr>
          <w:rFonts w:ascii="Arial" w:hAnsi="Arial" w:cs="Arial"/>
          <w:sz w:val="22"/>
          <w:szCs w:val="22"/>
        </w:rPr>
        <w:t xml:space="preserve"> socijalne politike.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Kroz te programe učenici zadovoljavaju svoje potrebe za većim znanjem, a posebno su motivirani za sudjelovanje u </w:t>
      </w:r>
      <w:proofErr w:type="spellStart"/>
      <w:r>
        <w:rPr>
          <w:rFonts w:ascii="Arial" w:hAnsi="Arial" w:cs="Arial"/>
          <w:sz w:val="22"/>
          <w:szCs w:val="22"/>
        </w:rPr>
        <w:t>Robotrci</w:t>
      </w:r>
      <w:proofErr w:type="spellEnd"/>
      <w:r>
        <w:rPr>
          <w:rFonts w:ascii="Arial" w:hAnsi="Arial" w:cs="Arial"/>
          <w:sz w:val="22"/>
          <w:szCs w:val="22"/>
        </w:rPr>
        <w:t>. Izvannastavne aktivnosti su u našoj školi jako zastupljene. Učenici tijekom godine sudjeluju u brojnim natje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ima  i manifestacijama. Kroz takve aktivnosti učenici pronalaze sebe i zadovoljavaju svoje interese bez obzira na postignuti školski uspjeh. Na taj način se kod njih razvija natjecateljski duh, zadovoljavaju svoju znatiželju i kreativno ispunjavaju slobodn</w:t>
      </w:r>
      <w:r>
        <w:rPr>
          <w:rFonts w:ascii="Arial" w:hAnsi="Arial" w:cs="Arial"/>
          <w:sz w:val="22"/>
          <w:szCs w:val="22"/>
        </w:rPr>
        <w:t>o vrijeme.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A230102: ŽUPANIJSKA NATJECANJA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Sudjelovanje učenika na sportskim i drugim natjecanjima na županijskoj razini financira se sredstvima nadležnog proračuna i proračuna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Saveza sportova Istarske županije. Cilj  aktivnosti je razvijanje vje</w:t>
      </w:r>
      <w:r>
        <w:rPr>
          <w:rFonts w:ascii="Arial" w:hAnsi="Arial" w:cs="Arial"/>
          <w:sz w:val="22"/>
          <w:szCs w:val="22"/>
        </w:rPr>
        <w:t>ština i znanja te natjecateljskog duha učenika.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Uključivanje učenika u natjecanja.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KTIVNOST A230104: POMOĆNICI U NASTAVI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enamjenskim sredstvima  osigurava se i financira rad pomoćnika u nastavi za učenike s teškoćama u razvoju u osnovnoškolskim i srednjoškolskim odgojno-obrazovnim ustanovama u kojima je osnivač Istarska županija, a koji nisu obuhvaćeni projektom MOZAIK. 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>TIVNOST A230106: ŠKOLSKA KUHINJA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Planirani su rashodi po realnoj procjeni ostvarenja istih koji služe za financiranje prehrane učenika dok borave u školi u skladu s propisanim normativima koje donosi ministarstvo nadležno za zdravstvo. Tjedni jelovnik obja</w:t>
      </w:r>
      <w:r>
        <w:rPr>
          <w:rFonts w:ascii="Arial" w:hAnsi="Arial" w:cs="Arial"/>
          <w:sz w:val="22"/>
          <w:szCs w:val="22"/>
        </w:rPr>
        <w:t>vljuje se na web stranici škole. U cilju očuvanja zdravlja učenika u školi se svakodnevno služe kuhani obroci. Prehrana se poslužuje u blagovaonici i holu škole.</w:t>
      </w:r>
      <w:r>
        <w:rPr>
          <w:rFonts w:ascii="Arial" w:hAnsi="Arial" w:cs="Arial"/>
          <w:sz w:val="22"/>
          <w:szCs w:val="22"/>
        </w:rPr>
        <w:t xml:space="preserve"> Rashodi školske kuhinje financirani su sredstvima nadležnog Ministarstva, a troškovi ručka suf</w:t>
      </w:r>
      <w:r>
        <w:rPr>
          <w:rFonts w:ascii="Arial" w:hAnsi="Arial" w:cs="Arial"/>
          <w:sz w:val="22"/>
          <w:szCs w:val="22"/>
        </w:rPr>
        <w:t>inanciranjem roditelja.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230107: PRODUŽENI BORAVAK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Produženi boravak neobvezan je oblik odgojno-obrazovnog rada namijenjen učenicima razredne nastave koji se provodi izvan redovite nastave i ima svoje pedagoške, odgojne, zdravstvene i socijalne v</w:t>
      </w:r>
      <w:r>
        <w:rPr>
          <w:rFonts w:ascii="Arial" w:hAnsi="Arial" w:cs="Arial"/>
          <w:sz w:val="22"/>
          <w:szCs w:val="22"/>
        </w:rPr>
        <w:t>rijednosti. Program produženog boravka provodi se dugi niz godina. U novoj školskoj godini organiziran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 dvije</w:t>
      </w:r>
      <w:r>
        <w:rPr>
          <w:rFonts w:ascii="Arial" w:hAnsi="Arial" w:cs="Arial"/>
          <w:sz w:val="22"/>
          <w:szCs w:val="22"/>
        </w:rPr>
        <w:t xml:space="preserve"> heterogena grupe učenika u produženom boravku od</w:t>
      </w:r>
      <w:r>
        <w:rPr>
          <w:rFonts w:ascii="Arial" w:hAnsi="Arial" w:cs="Arial"/>
          <w:sz w:val="22"/>
          <w:szCs w:val="22"/>
        </w:rPr>
        <w:t xml:space="preserve"> ukupno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 xml:space="preserve"> učenika. Učenici su u rad produženog boravka uključeni na bazi ugovora koji roditelj</w:t>
      </w:r>
      <w:r>
        <w:rPr>
          <w:rFonts w:ascii="Arial" w:hAnsi="Arial" w:cs="Arial"/>
          <w:sz w:val="22"/>
          <w:szCs w:val="22"/>
        </w:rPr>
        <w:t xml:space="preserve">i-skrbnici sklapaju početkom nastavne godine na vrijeme od 10 mjeseci po cijeni  </w:t>
      </w:r>
      <w:r>
        <w:rPr>
          <w:rFonts w:ascii="Arial" w:hAnsi="Arial" w:cs="Arial"/>
          <w:sz w:val="22"/>
          <w:szCs w:val="22"/>
        </w:rPr>
        <w:t>35,00 EUR</w:t>
      </w:r>
      <w:r>
        <w:rPr>
          <w:rFonts w:ascii="Arial" w:hAnsi="Arial" w:cs="Arial"/>
          <w:sz w:val="22"/>
          <w:szCs w:val="22"/>
        </w:rPr>
        <w:t xml:space="preserve"> odnosno za kraće mjesece </w:t>
      </w:r>
      <w:r>
        <w:rPr>
          <w:rFonts w:ascii="Arial" w:hAnsi="Arial" w:cs="Arial"/>
          <w:sz w:val="22"/>
          <w:szCs w:val="22"/>
        </w:rPr>
        <w:t xml:space="preserve">27,00 eura </w:t>
      </w:r>
      <w:r>
        <w:rPr>
          <w:rFonts w:ascii="Arial" w:hAnsi="Arial" w:cs="Arial"/>
          <w:sz w:val="22"/>
          <w:szCs w:val="22"/>
        </w:rPr>
        <w:t>mjesečno čime se sufinanciraju plaće učitelj</w:t>
      </w:r>
      <w:r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z w:val="22"/>
          <w:szCs w:val="22"/>
        </w:rPr>
        <w:t xml:space="preserve"> u produženom boravku. Polaznici produženog boravka mogu koristiti kuhani ručak ko</w:t>
      </w:r>
      <w:r>
        <w:rPr>
          <w:rFonts w:ascii="Arial" w:hAnsi="Arial" w:cs="Arial"/>
          <w:sz w:val="22"/>
          <w:szCs w:val="22"/>
        </w:rPr>
        <w:t>ji financiraju roditelji-skrbnici u iznosu od 1</w:t>
      </w:r>
      <w:r>
        <w:rPr>
          <w:rFonts w:ascii="Arial" w:hAnsi="Arial" w:cs="Arial"/>
          <w:sz w:val="22"/>
          <w:szCs w:val="22"/>
        </w:rPr>
        <w:t>,80 eura</w:t>
      </w:r>
      <w:r>
        <w:rPr>
          <w:rFonts w:ascii="Arial" w:hAnsi="Arial" w:cs="Arial"/>
          <w:sz w:val="22"/>
          <w:szCs w:val="22"/>
        </w:rPr>
        <w:t xml:space="preserve"> po obroku</w:t>
      </w:r>
      <w:r>
        <w:rPr>
          <w:rFonts w:ascii="Arial" w:hAnsi="Arial" w:cs="Arial"/>
          <w:sz w:val="22"/>
          <w:szCs w:val="22"/>
        </w:rPr>
        <w:t xml:space="preserve">. Preostali dio financiranja troškova produženog boravka (oko 70%) podmiruju </w:t>
      </w:r>
      <w:proofErr w:type="spellStart"/>
      <w:r>
        <w:rPr>
          <w:rFonts w:ascii="Arial" w:hAnsi="Arial" w:cs="Arial"/>
          <w:sz w:val="22"/>
          <w:szCs w:val="22"/>
        </w:rPr>
        <w:t>ravnojerno</w:t>
      </w:r>
      <w:proofErr w:type="spellEnd"/>
      <w:r>
        <w:rPr>
          <w:rFonts w:ascii="Arial" w:hAnsi="Arial" w:cs="Arial"/>
          <w:sz w:val="22"/>
          <w:szCs w:val="22"/>
        </w:rPr>
        <w:t xml:space="preserve"> Općina Barban i Istarska županija.</w:t>
      </w:r>
      <w:r>
        <w:rPr>
          <w:rFonts w:ascii="Arial" w:hAnsi="Arial" w:cs="Arial"/>
          <w:sz w:val="22"/>
          <w:szCs w:val="22"/>
        </w:rPr>
        <w:tab/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230112: ROBOTIKA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 Robotika su namjenski prihodi </w:t>
      </w:r>
      <w:r>
        <w:rPr>
          <w:rFonts w:ascii="Arial" w:hAnsi="Arial" w:cs="Arial"/>
          <w:sz w:val="22"/>
          <w:szCs w:val="22"/>
        </w:rPr>
        <w:t xml:space="preserve">koje financira Općina Barban, a odnose se na natjecanje učenika u robotici kao prateća manifestacija nadaleko poznate Trke na </w:t>
      </w:r>
      <w:proofErr w:type="spellStart"/>
      <w:r>
        <w:rPr>
          <w:rFonts w:ascii="Arial" w:hAnsi="Arial" w:cs="Arial"/>
          <w:sz w:val="22"/>
          <w:szCs w:val="22"/>
        </w:rPr>
        <w:t>prstenac</w:t>
      </w:r>
      <w:proofErr w:type="spellEnd"/>
      <w:r>
        <w:rPr>
          <w:rFonts w:ascii="Arial" w:hAnsi="Arial" w:cs="Arial"/>
          <w:sz w:val="22"/>
          <w:szCs w:val="22"/>
        </w:rPr>
        <w:t>.  Potiče se razvijanje informatičkih vještina i očuvanje nematerijalne kulturne baštine kroz suvremen pristup.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</w:t>
      </w:r>
      <w:r>
        <w:rPr>
          <w:rFonts w:ascii="Arial" w:hAnsi="Arial" w:cs="Arial"/>
          <w:sz w:val="22"/>
          <w:szCs w:val="22"/>
        </w:rPr>
        <w:t xml:space="preserve"> 230115 OSTALI PROGRAMI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Odnosi se na  prihode Ministarstva znanosti i obrazovanja za financiranje određenih projekata.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230116: ŠKOLSKI LIST, ČASOPISI I KNJIGE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Nadležno ministarstvo za obrazovanje (MZO) provodi javnu nabavu i financira udžbenike </w:t>
      </w:r>
      <w:r>
        <w:rPr>
          <w:rFonts w:ascii="Arial" w:hAnsi="Arial" w:cs="Arial"/>
          <w:sz w:val="22"/>
          <w:szCs w:val="22"/>
        </w:rPr>
        <w:t xml:space="preserve">za sve razredne odjele osnovne škole. Učenici posredstvom škole kupuju časopise i radne listove s ciljem poticanja čitanja. 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</w:pPr>
      <w:r>
        <w:rPr>
          <w:rFonts w:ascii="Arial" w:hAnsi="Arial" w:cs="Arial"/>
          <w:sz w:val="22"/>
          <w:szCs w:val="22"/>
        </w:rPr>
        <w:t>AKTIVNOST 230119: NAGRADE ZA UČENIKE</w:t>
      </w:r>
      <w:r>
        <w:t xml:space="preserve"> 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Nagrade za učenike su namjenski prihodi Općine Barban namijenjen </w:t>
      </w:r>
      <w:proofErr w:type="spellStart"/>
      <w:r>
        <w:rPr>
          <w:rFonts w:ascii="Arial" w:hAnsi="Arial" w:cs="Arial"/>
          <w:sz w:val="22"/>
          <w:szCs w:val="22"/>
        </w:rPr>
        <w:t>osmašima</w:t>
      </w:r>
      <w:proofErr w:type="spellEnd"/>
      <w:r>
        <w:rPr>
          <w:rFonts w:ascii="Arial" w:hAnsi="Arial" w:cs="Arial"/>
          <w:sz w:val="22"/>
          <w:szCs w:val="22"/>
        </w:rPr>
        <w:t xml:space="preserve"> koji su postigli </w:t>
      </w:r>
      <w:r>
        <w:rPr>
          <w:rFonts w:ascii="Arial" w:hAnsi="Arial" w:cs="Arial"/>
          <w:sz w:val="22"/>
          <w:szCs w:val="22"/>
        </w:rPr>
        <w:t>najbolji uspjeh tijekom osmogodišnjeg školovanja s ciljem motiviranja učenika na što veći trud i zalaganje tijekom školovanja.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 A230163 IZLETI I TERENSKA NASTAVA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Aktivnost obuhvaća provođenje izleta i terenske nastave za učenike sukladno odredba</w:t>
      </w:r>
      <w:r>
        <w:rPr>
          <w:rFonts w:ascii="Arial" w:hAnsi="Arial" w:cs="Arial"/>
          <w:sz w:val="22"/>
          <w:szCs w:val="22"/>
        </w:rPr>
        <w:t>ma Školskog kurikuluma. Namjenski prihodi financirani su od strane roditelja za troškove izvan učioničke nastave učenika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 Općine Barban za izlete učenika slabijeg imovinskog stanja</w:t>
      </w:r>
      <w:r>
        <w:rPr>
          <w:rFonts w:ascii="Arial" w:hAnsi="Arial" w:cs="Arial"/>
          <w:sz w:val="22"/>
          <w:szCs w:val="22"/>
        </w:rPr>
        <w:t xml:space="preserve"> te od nadležnog </w:t>
      </w:r>
      <w:proofErr w:type="spellStart"/>
      <w:r>
        <w:rPr>
          <w:rFonts w:ascii="Arial" w:hAnsi="Arial" w:cs="Arial"/>
          <w:sz w:val="22"/>
          <w:szCs w:val="22"/>
        </w:rPr>
        <w:t>MInistarstva</w:t>
      </w:r>
      <w:proofErr w:type="spellEnd"/>
      <w:r>
        <w:rPr>
          <w:rFonts w:ascii="Arial" w:hAnsi="Arial" w:cs="Arial"/>
          <w:sz w:val="22"/>
          <w:szCs w:val="22"/>
        </w:rPr>
        <w:t xml:space="preserve"> za učenike pripadnike nacionalnih manjina</w:t>
      </w:r>
      <w:r>
        <w:rPr>
          <w:rFonts w:ascii="Arial" w:hAnsi="Arial" w:cs="Arial"/>
          <w:sz w:val="22"/>
          <w:szCs w:val="22"/>
        </w:rPr>
        <w:t>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 A230170 UČENIČKA ZADRUGA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</w:t>
      </w:r>
      <w:r>
        <w:t xml:space="preserve"> obuhvaća </w:t>
      </w:r>
      <w:r>
        <w:rPr>
          <w:rFonts w:ascii="Arial" w:hAnsi="Arial" w:cs="Arial"/>
          <w:sz w:val="22"/>
          <w:szCs w:val="22"/>
        </w:rPr>
        <w:t>veliki broj učenika uključenih u rad učeničke zadruge i sudjelovanje na raznim izložbama i manifestacijama  Učeničke zadruge „</w:t>
      </w:r>
      <w:proofErr w:type="spellStart"/>
      <w:r>
        <w:rPr>
          <w:rFonts w:ascii="Arial" w:hAnsi="Arial" w:cs="Arial"/>
          <w:sz w:val="22"/>
          <w:szCs w:val="22"/>
        </w:rPr>
        <w:t>Smokvenjak</w:t>
      </w:r>
      <w:proofErr w:type="spellEnd"/>
      <w:r>
        <w:rPr>
          <w:rFonts w:ascii="Arial" w:hAnsi="Arial" w:cs="Arial"/>
          <w:sz w:val="22"/>
          <w:szCs w:val="22"/>
        </w:rPr>
        <w:t>“. Aktivnošću se potiče  razvijanje kreativnosti učenika  kroz r</w:t>
      </w:r>
      <w:r>
        <w:rPr>
          <w:rFonts w:ascii="Arial" w:hAnsi="Arial" w:cs="Arial"/>
          <w:sz w:val="22"/>
          <w:szCs w:val="22"/>
        </w:rPr>
        <w:t>aznovrsne aktivnosti.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230184: ZAVIČAJNA NASTAVA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Ideja o Zavičajnoj nastavi na području Istarske županije te njena implementacija u predškolske i školske ustanove inicirana je s ciljem očuvanja istarskih posebnosti, bogate multikulturalnosti, pov</w:t>
      </w:r>
      <w:r>
        <w:rPr>
          <w:rFonts w:ascii="Arial" w:hAnsi="Arial" w:cs="Arial"/>
          <w:sz w:val="22"/>
          <w:szCs w:val="22"/>
        </w:rPr>
        <w:t>ijesti i tradicije. Voljeti svoj kraj uči se od malih nogu, što je i polazišna točka samog projekta koji djecu želi upoznati sa šarolikim multikulturnim istarskim identitetom, njenom tradicijom, običajima i poviješću.</w:t>
      </w:r>
      <w:r>
        <w:rPr>
          <w:rFonts w:ascii="Arial" w:hAnsi="Arial" w:cs="Arial"/>
          <w:sz w:val="22"/>
          <w:szCs w:val="22"/>
        </w:rPr>
        <w:t xml:space="preserve"> Projekt je financiran sredstvima Prora</w:t>
      </w:r>
      <w:r>
        <w:rPr>
          <w:rFonts w:ascii="Arial" w:hAnsi="Arial" w:cs="Arial"/>
          <w:sz w:val="22"/>
          <w:szCs w:val="22"/>
        </w:rPr>
        <w:t>čuna Istarske županije.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A230199 ŠKOLSKA SHEMA</w:t>
      </w: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 povećanja unosa svježeg voća i povrća te mlijeka i mliječnih proizvoda, kao i podizanja svijesti o značaju zdrave prehrane kod školske djece, od školske godine 2017./2018.  Hrvatska započinje s </w:t>
      </w:r>
      <w:r>
        <w:rPr>
          <w:rFonts w:ascii="Arial" w:hAnsi="Arial" w:cs="Arial"/>
          <w:sz w:val="22"/>
          <w:szCs w:val="22"/>
        </w:rPr>
        <w:t xml:space="preserve">provedbom Školske sheme – besplatnih obroka voća, povrća i mlijeka za školsku djecu, a nastavlja i u ovoj školskoj godini. Voće i povrće isporučuje se i raspodjeljuje najmanje jednom tjedno, a mlijeko i mliječni proizvodi jednom tjedno najmanje 12 tjedana </w:t>
      </w:r>
      <w:r>
        <w:rPr>
          <w:rFonts w:ascii="Arial" w:hAnsi="Arial" w:cs="Arial"/>
          <w:sz w:val="22"/>
          <w:szCs w:val="22"/>
        </w:rPr>
        <w:t>u nastavne dane u skladu sa školskim kalendarom tijekom školske godine.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Procijenjeni trošak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2.1.2. Osiguranje i poboljšanje dostupnosti odgoja i obrazovanja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2301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A230102, A230106, A230107,A230112,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A230115,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A230116  A230119;  A230163, A230170, A230184, A230197 A230199 </w:t>
            </w:r>
          </w:p>
          <w:p w:rsidR="001F6839" w:rsidRDefault="001F6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Planirana sredstva 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proračunu Istarske županije</w:t>
            </w:r>
          </w:p>
          <w:p w:rsidR="001F6839" w:rsidRDefault="001F68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REGIJA KOJA NJEGUJE I PROMOVIRA PREPOZNATLJIVOST ISTARSKOG IDENTITETA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4.1. Potpora očuvanju i razvoju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sastavnica istarskog identiteta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4.1.1 Razvoj zavičajnog identiteta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2301 Programi obrazovanja iznad standarda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A230184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0,00 EUR</w:t>
            </w:r>
          </w:p>
        </w:tc>
      </w:tr>
      <w:tr w:rsidR="001F6839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 EUR</w:t>
            </w:r>
          </w:p>
        </w:tc>
      </w:tr>
    </w:tbl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:rsidR="001F6839" w:rsidRDefault="008571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mjeru </w:t>
      </w:r>
      <w:r>
        <w:rPr>
          <w:rFonts w:ascii="Arial" w:hAnsi="Arial" w:cs="Arial"/>
          <w:color w:val="000000"/>
          <w:sz w:val="22"/>
          <w:szCs w:val="22"/>
        </w:rPr>
        <w:t xml:space="preserve">2.1.2. Osiguranje i poboljšanje </w:t>
      </w:r>
      <w:r>
        <w:rPr>
          <w:rFonts w:ascii="Arial" w:hAnsi="Arial" w:cs="Arial"/>
          <w:color w:val="000000"/>
          <w:sz w:val="22"/>
          <w:szCs w:val="22"/>
        </w:rPr>
        <w:t>dostupnosti odgoja i obrazovanja djeci i njihovim roditeljima; mjeru 4.1.1 Razvoj zavičajnog identiteta</w:t>
      </w: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748" w:type="dxa"/>
        <w:tblLayout w:type="fixed"/>
        <w:tblLook w:val="04A0" w:firstRow="1" w:lastRow="0" w:firstColumn="1" w:lastColumn="0" w:noHBand="0" w:noVBand="1"/>
      </w:tblPr>
      <w:tblGrid>
        <w:gridCol w:w="2572"/>
        <w:gridCol w:w="1034"/>
        <w:gridCol w:w="1500"/>
        <w:gridCol w:w="1095"/>
        <w:gridCol w:w="1307"/>
        <w:gridCol w:w="240"/>
      </w:tblGrid>
      <w:tr w:rsidR="001F6839">
        <w:trPr>
          <w:trHeight w:val="47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Ciljane vrijednosti </w:t>
            </w:r>
          </w:p>
        </w:tc>
      </w:tr>
      <w:tr w:rsidR="001F6839">
        <w:trPr>
          <w:trHeight w:val="171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58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Broj učenika koji ostvarili  zavidne rezultate na županijskim sportskim natjecanjima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Povećanje broja učenika koji koriste uslugu školske prehrane, priprema zdravih obroka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Povećanje broja učenika koji koriste uslugu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produženog boravka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Osiguravanje besplatnih udžbenika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Nastavak provođenja aktivnosti Robotika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Nastavak provođenja aktivnosti Nagrade učenicima s ciljem poticanja učenika na veću uspješnost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Financiranje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troškova prijevoza učenika s posebnim potrebama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Financiranje voća i mliječnih proizvoda za sve učenike škole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Sudjelovanje svih učenika na školskim izletima i terenskoj nastavi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 učeničke zadruge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Smokvenjak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kojom se djecu potiče na veću kreativnost i timski rad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6839">
        <w:trPr>
          <w:trHeight w:val="1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Kroz aktivnosti Zavičajne nastave u projektu se poticala suradnja kod učenika, inovativnost, kreativnost, poduzetništvo, korištenje informacijsko-komunikacijske tehnologije itd.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Sudjelovanje većeg broja učenika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 NAZIV PROGRAMA: 2302 PROGRAMI OBRAZOVANJA  IZNAD STANDARDA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4.1. NAZIV AKTIVNOSTI I PROJEKATA 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A230202 Građanski odgoj; A 230203 Medni dan; A23020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8 Prehrana za učenike OŠ, A230209 Menstrualne i higijenske potrepštine; A230211 Školska psiholozi;  A230212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Oxford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digitalna knjižnica; A230219 Uzorkovanje vode i procjene rizika vodovodne mreže 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</w:t>
      </w:r>
      <w:r>
        <w:rPr>
          <w:rFonts w:ascii="Arial" w:hAnsi="Arial" w:cs="Arial"/>
          <w:bCs/>
          <w:sz w:val="22"/>
          <w:szCs w:val="22"/>
        </w:rPr>
        <w:t xml:space="preserve"> o 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proračunskim klasifikacijama (N</w:t>
      </w:r>
      <w:r>
        <w:rPr>
          <w:rFonts w:ascii="Arial" w:hAnsi="Arial" w:cs="Arial"/>
          <w:bCs/>
          <w:sz w:val="22"/>
          <w:szCs w:val="22"/>
        </w:rPr>
        <w:t xml:space="preserve">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Upute za izradu Proračuna Istarske županije za 2025.-2027. godine (Kl. 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kriterijima, mjerilima i načinu financiranja decentraliziranih funkcija osnovnog školstva za 2024. godinu – Skupština Ist</w:t>
      </w:r>
      <w:r>
        <w:rPr>
          <w:rFonts w:ascii="Arial" w:hAnsi="Arial" w:cs="Arial"/>
          <w:bCs/>
          <w:sz w:val="22"/>
          <w:szCs w:val="22"/>
        </w:rPr>
        <w:t>arske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izvođenju izleta,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</w:t>
      </w:r>
      <w:r>
        <w:rPr>
          <w:rFonts w:ascii="Arial" w:hAnsi="Arial" w:cs="Arial"/>
          <w:bCs/>
          <w:sz w:val="22"/>
          <w:szCs w:val="22"/>
        </w:rPr>
        <w:t>ogram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plaćama u državnoj službi i javnim službama (NN 155/23)</w:t>
      </w: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Zaključak o sufinanciranju programa produženog boravka u školskoj godini 2024./25. (kl. 602-02/24-02/289, ur.br. 2163-05/4-24-10) – Istarska županija</w:t>
      </w:r>
    </w:p>
    <w:p w:rsidR="001F6839" w:rsidRDefault="001F683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AKTIVNOST 230202: GRAĐANSKI ODGOJ</w:t>
      </w: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Građans</w:t>
      </w:r>
      <w:r>
        <w:rPr>
          <w:sz w:val="22"/>
          <w:szCs w:val="22"/>
        </w:rPr>
        <w:t>ki odgoj i obrazovanje (GOO), kao izvannastavna aktivnost za učenike viših razreda, područje je odgoja i obrazovanja kojim se kod učenika i učenica razvijaju znanja, sposobnosti i vještine demokratske vrijednosti i stavovi, važni za odgovorno i aktivno sud</w:t>
      </w:r>
      <w:r>
        <w:rPr>
          <w:sz w:val="22"/>
          <w:szCs w:val="22"/>
        </w:rPr>
        <w:t>jelovanje u društvu. Učiteljice koje provode program prošle su cjelovitu edukaciju svih područja GOO-a. Uvođenje ovog programa pokrenula je Istarska županija u školskoj godini 2018/2019. u našoj i još deset škola kao eksperimentalni program u izvannastavno</w:t>
      </w:r>
      <w:r>
        <w:rPr>
          <w:sz w:val="22"/>
          <w:szCs w:val="22"/>
        </w:rPr>
        <w:t xml:space="preserve">j aktivnosti. </w:t>
      </w:r>
      <w:r>
        <w:rPr>
          <w:sz w:val="22"/>
          <w:szCs w:val="22"/>
        </w:rPr>
        <w:t>P</w:t>
      </w:r>
      <w:r>
        <w:rPr>
          <w:sz w:val="22"/>
          <w:szCs w:val="22"/>
        </w:rPr>
        <w:t>rogram više nije eksperimentalan te ga provodi većina škola.</w:t>
      </w:r>
    </w:p>
    <w:p w:rsidR="001F6839" w:rsidRDefault="001F6839">
      <w:pPr>
        <w:pStyle w:val="Default"/>
        <w:jc w:val="both"/>
        <w:rPr>
          <w:sz w:val="22"/>
          <w:szCs w:val="22"/>
        </w:rPr>
      </w:pP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AKTIVNOST 230203: MEDNI DAN</w:t>
      </w: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Program školskog mednog dana i promocije hrvatskih pčelara u organizaciji je Agencije za plaćanje u poljoprivredi, ribarstvu i ruralnom razvoju. Na dan</w:t>
      </w:r>
      <w:r>
        <w:rPr>
          <w:sz w:val="22"/>
          <w:szCs w:val="22"/>
        </w:rPr>
        <w:t xml:space="preserve"> Sv. Ambrozija, zaštitnika pčela i pčelara, nastavnici putem edukativne slikovnice i edukativne prezentacije prilagođene dobi djece prvog razreda, održavaju radionice za djecu o važnosti i značaju pčelarstva. Aktivnost obuhvaća podjelu teglica meda i sliko</w:t>
      </w:r>
      <w:r>
        <w:rPr>
          <w:sz w:val="22"/>
          <w:szCs w:val="22"/>
        </w:rPr>
        <w:t>vnica učenicima prvog razreda.</w:t>
      </w:r>
    </w:p>
    <w:p w:rsidR="001F6839" w:rsidRDefault="001F6839">
      <w:pPr>
        <w:pStyle w:val="Default"/>
        <w:jc w:val="both"/>
        <w:rPr>
          <w:sz w:val="22"/>
          <w:szCs w:val="22"/>
        </w:rPr>
      </w:pP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230208 PREHRANA ZA UČENIKE U OŠ</w:t>
      </w: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se odnosi na financiranje školske marende od strane nadležnog ministarstva u iznosu od 1,33 EUR-a dnevno za svakog učenika s ciljem kako bi svi učenici osnovnih škola imali p</w:t>
      </w:r>
      <w:r>
        <w:rPr>
          <w:rFonts w:ascii="Arial" w:hAnsi="Arial" w:cs="Arial"/>
          <w:sz w:val="22"/>
          <w:szCs w:val="22"/>
        </w:rPr>
        <w:t>ravo na jedan besplatan obrok.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 230209 MENSTRUALNE I HIGIJENSKE POTREPŠTINE</w:t>
      </w: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financiran od Ministarstva rada, mirovinskog sustava, obitelji i socijalne politike za proračunske korisnike, a odnosi se na financiranje menstrualnih i higij</w:t>
      </w:r>
      <w:r>
        <w:rPr>
          <w:rFonts w:ascii="Arial" w:hAnsi="Arial" w:cs="Arial"/>
          <w:sz w:val="22"/>
          <w:szCs w:val="22"/>
        </w:rPr>
        <w:t>enskih potrepština za sve učenice naše škole.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 230211 ŠKOLSKI PSIHOLOZI</w:t>
      </w: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financiran sredstvima Istarske županije s ciljem zaštite mentalnog zdravlja učenika.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AKTIVNOST:230212 OXFORD DIGITALNA KNJIŽNICA</w:t>
      </w: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 se o projektu nabave kodova</w:t>
      </w:r>
      <w:r>
        <w:rPr>
          <w:rFonts w:ascii="Arial" w:hAnsi="Arial" w:cs="Arial"/>
          <w:sz w:val="22"/>
          <w:szCs w:val="22"/>
        </w:rPr>
        <w:t xml:space="preserve"> za bolje učenje engleskog jezika koje </w:t>
      </w:r>
      <w:proofErr w:type="spellStart"/>
      <w:r>
        <w:rPr>
          <w:rFonts w:ascii="Arial" w:hAnsi="Arial" w:cs="Arial"/>
          <w:sz w:val="22"/>
          <w:szCs w:val="22"/>
        </w:rPr>
        <w:t>financita</w:t>
      </w:r>
      <w:proofErr w:type="spellEnd"/>
      <w:r>
        <w:rPr>
          <w:rFonts w:ascii="Arial" w:hAnsi="Arial" w:cs="Arial"/>
          <w:sz w:val="22"/>
          <w:szCs w:val="22"/>
        </w:rPr>
        <w:t xml:space="preserve"> Istarska županija iz nenamjenskih prihoda i primitaka.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 230219 UZORKOVANJE VODE I UPRAVLJANJE RIZICIMA</w:t>
      </w: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financiran sredstvima Istarske županije. Program se odnosi na novu zakonsku obvezu</w:t>
      </w:r>
      <w:r>
        <w:rPr>
          <w:rFonts w:ascii="Arial" w:hAnsi="Arial" w:cs="Arial"/>
          <w:sz w:val="22"/>
          <w:szCs w:val="22"/>
        </w:rPr>
        <w:t>, a obuhvaća mikrobiološku analizu vode iz slavine koju provodi Nastavni zavod za javno zdravstvo Istarske županije.</w:t>
      </w:r>
    </w:p>
    <w:p w:rsidR="001F6839" w:rsidRDefault="001F6839">
      <w:pPr>
        <w:pStyle w:val="Default"/>
        <w:jc w:val="both"/>
        <w:rPr>
          <w:sz w:val="22"/>
          <w:szCs w:val="22"/>
        </w:rPr>
      </w:pPr>
    </w:p>
    <w:p w:rsidR="001F6839" w:rsidRDefault="0085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USPJEŠNOSTI – provođenje mjera </w:t>
      </w:r>
      <w:r>
        <w:rPr>
          <w:rFonts w:ascii="Arial" w:hAnsi="Arial" w:cs="Arial"/>
          <w:color w:val="000000"/>
          <w:sz w:val="22"/>
          <w:szCs w:val="22"/>
        </w:rPr>
        <w:t>2.1.2. Osiguranje i poboljšanje dostupnosti odgoja i obrazovanja djeci i njihovim roditeljima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mjere </w:t>
      </w:r>
      <w:r>
        <w:rPr>
          <w:rFonts w:ascii="Arial" w:hAnsi="Arial" w:cs="Arial"/>
          <w:sz w:val="22"/>
          <w:szCs w:val="22"/>
        </w:rPr>
        <w:t>2.2.6. Unaprjeđenje programa prevencije i ranog otkrivanja bolesti</w:t>
      </w:r>
      <w:r>
        <w:rPr>
          <w:rFonts w:ascii="Arial" w:hAnsi="Arial" w:cs="Arial"/>
          <w:sz w:val="22"/>
          <w:szCs w:val="22"/>
        </w:rPr>
        <w:t xml:space="preserve"> i mjere 2.1.1. Izgradnja, rekonstrukcija, dogradnja i opremanje predškolskih ustanova, osnovnih i srednjih škola te učeničkih domova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p w:rsidR="001F6839" w:rsidRDefault="001F68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stva u proračunu Istarske županije</w:t>
            </w: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15799013"/>
            <w:bookmarkStart w:id="2" w:name="_Hlk115781731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_Hlk115799025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A230202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 EUR</w:t>
            </w:r>
          </w:p>
        </w:tc>
      </w:tr>
      <w:bookmarkEnd w:id="3"/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2.2. Vitalno stanovništvo kroz kvalitetnije zdravstvene usluge i sport 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2.2.6. Unaprjeđenje programa prevencije i ranog otkrivanja bolesti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A230203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A230208, A230209, A230211</w:t>
            </w:r>
          </w:p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41.424,45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2.1.1. Ispitivanje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mreže i uzorkovanje vode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A230219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1.405,73 EUR</w:t>
            </w:r>
          </w:p>
        </w:tc>
      </w:tr>
      <w:bookmarkEnd w:id="2"/>
      <w:tr w:rsidR="001F6839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330,18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EUR</w:t>
            </w:r>
          </w:p>
        </w:tc>
      </w:tr>
    </w:tbl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:rsidR="001F6839" w:rsidRDefault="0085716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mjere </w:t>
      </w:r>
      <w:r>
        <w:rPr>
          <w:rFonts w:ascii="Arial" w:hAnsi="Arial" w:cs="Arial"/>
          <w:color w:val="000000"/>
          <w:sz w:val="22"/>
          <w:szCs w:val="22"/>
        </w:rPr>
        <w:t xml:space="preserve">2.1.2. Osiguranje i poboljšanje dostupnosti odgoja i obrazovanja djeci i njihovim roditeljima ( građanski odgoj) i mjere </w:t>
      </w:r>
      <w:r>
        <w:rPr>
          <w:rFonts w:ascii="Arial" w:hAnsi="Arial" w:cs="Arial"/>
          <w:sz w:val="22"/>
          <w:szCs w:val="22"/>
        </w:rPr>
        <w:t>2.2.6. Unaprjeđenje programa prevencije i ranog otkrivanja bolesti ( medni dan</w:t>
      </w:r>
      <w:r>
        <w:rPr>
          <w:rFonts w:ascii="Arial" w:hAnsi="Arial" w:cs="Arial"/>
          <w:sz w:val="22"/>
          <w:szCs w:val="22"/>
        </w:rPr>
        <w:t>, prehrana učenika u OŠ i menstrualne i higijenske potrep</w:t>
      </w:r>
      <w:r>
        <w:rPr>
          <w:rFonts w:ascii="Arial" w:hAnsi="Arial" w:cs="Arial"/>
          <w:sz w:val="22"/>
          <w:szCs w:val="22"/>
        </w:rPr>
        <w:t>štine</w:t>
      </w:r>
      <w:r>
        <w:rPr>
          <w:rFonts w:ascii="Arial" w:hAnsi="Arial" w:cs="Arial"/>
          <w:sz w:val="22"/>
          <w:szCs w:val="22"/>
        </w:rPr>
        <w:t>)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2846"/>
        <w:gridCol w:w="1365"/>
        <w:gridCol w:w="1384"/>
        <w:gridCol w:w="1252"/>
        <w:gridCol w:w="1207"/>
        <w:gridCol w:w="240"/>
      </w:tblGrid>
      <w:tr w:rsidR="001F6839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učenika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1F6839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Provođenje nastave građanskog odgoja – novi projekt koji se provodi sa učenicima viših razreda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840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učenika prvih razreda OŠ kojima su dodijeljene promotivna staklenka meda i edukativna slikovnica - </w:t>
            </w:r>
            <w:r>
              <w:rPr>
                <w:rFonts w:ascii="Arial" w:hAnsi="Arial" w:cs="Arial"/>
                <w:sz w:val="18"/>
                <w:szCs w:val="18"/>
              </w:rPr>
              <w:t>svrha provedbe programa je podizanje svijesti djece, od rane dobi, o potrebi konzumacije lokalnih poljoprivrednih proizvoda.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840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Osiguravanje besplatnih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obroka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840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Osiguravanje besplatnih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menstrualnih i higijenskih potrepština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84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Pr="006C4548" w:rsidRDefault="00857166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proofErr w:type="spellStart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Ispitivanje</w:t>
            </w:r>
            <w:proofErr w:type="spellEnd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mreže</w:t>
            </w:r>
            <w:proofErr w:type="spellEnd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uzorkovanje</w:t>
            </w:r>
            <w:proofErr w:type="spellEnd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C4548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vode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NAZIV PROGRAMA:  INVESTICIJSKO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ODRŽAVANJE OSNOVNIH ŠKOLA</w:t>
      </w:r>
    </w:p>
    <w:p w:rsidR="001F6839" w:rsidRDefault="001F6839">
      <w:pPr>
        <w:pStyle w:val="Odlomakpopisa"/>
        <w:spacing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KTIVNOST A240101: INVESTICIJSKO ODRŽAVANJE OSNOVNIH ŠKOLA</w:t>
      </w:r>
    </w:p>
    <w:p w:rsidR="001F6839" w:rsidRDefault="008571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Decentraliziranim sredstvima iz proračuna IŽ financira se investicijsko i tekuće održavanje škola.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</w:t>
      </w:r>
      <w:r>
        <w:rPr>
          <w:rFonts w:ascii="Arial" w:hAnsi="Arial" w:cs="Arial"/>
          <w:bCs/>
          <w:sz w:val="22"/>
          <w:szCs w:val="22"/>
        </w:rPr>
        <w:t>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proračunskim klasifikacijama (NN 0</w:t>
      </w:r>
      <w:r>
        <w:rPr>
          <w:rFonts w:ascii="Arial" w:hAnsi="Arial" w:cs="Arial"/>
          <w:bCs/>
          <w:sz w:val="22"/>
          <w:szCs w:val="22"/>
        </w:rPr>
        <w:t xml:space="preserve">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Upute za izradu Proračuna Istarske županije za 2025.-2027. godine (Kl. 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Odluka o kriterijima, mjerilima i načinu financiranja decentraliziranih funkcija osnovnog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školstva za 2024. godinu – Skupština Istars</w:t>
      </w:r>
      <w:r>
        <w:rPr>
          <w:rFonts w:ascii="Arial" w:hAnsi="Arial" w:cs="Arial"/>
          <w:bCs/>
          <w:sz w:val="22"/>
          <w:szCs w:val="22"/>
        </w:rPr>
        <w:t>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izvođenju izleta,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progr</w:t>
      </w:r>
      <w:r>
        <w:rPr>
          <w:rFonts w:ascii="Arial" w:hAnsi="Arial" w:cs="Arial"/>
          <w:bCs/>
          <w:sz w:val="22"/>
          <w:szCs w:val="22"/>
        </w:rPr>
        <w:t>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</w:t>
      </w:r>
      <w:r>
        <w:rPr>
          <w:rFonts w:ascii="Arial" w:hAnsi="Arial" w:cs="Arial"/>
          <w:bCs/>
          <w:sz w:val="22"/>
          <w:szCs w:val="22"/>
        </w:rPr>
        <w:t xml:space="preserve"> plaćama u državnoj službi i javnim službama (NN 155/23)</w:t>
      </w: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Zaključak o sufinanciranju programa produženog boravka u školskoj godini 2024./25. (kl. 602-02/24-02/289, ur.br. 2163-05/4-24-10) – Istarska županija</w:t>
      </w:r>
    </w:p>
    <w:p w:rsidR="001F6839" w:rsidRDefault="001F6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6839" w:rsidRDefault="001F6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NAZIV PROGRAMA: KAPITALNA ULAGANJA U OSNOVNE ŠK</w:t>
      </w:r>
      <w:r>
        <w:rPr>
          <w:rFonts w:ascii="Arial" w:hAnsi="Arial" w:cs="Arial"/>
          <w:b/>
          <w:bCs/>
          <w:sz w:val="22"/>
          <w:szCs w:val="22"/>
        </w:rPr>
        <w:t>OLE</w:t>
      </w:r>
    </w:p>
    <w:p w:rsidR="001F6839" w:rsidRDefault="001F6839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 A240311: ULAGANJA U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Nenamjenskim sredstvima Istarske županije i Općine Barban financirati će se troškovi izgradnje učionice u masliniku.</w:t>
      </w:r>
    </w:p>
    <w:p w:rsidR="001F6839" w:rsidRDefault="001F6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ustanovama (NN 76/93 do </w:t>
      </w:r>
      <w:r>
        <w:rPr>
          <w:rFonts w:ascii="Arial" w:hAnsi="Arial" w:cs="Arial"/>
          <w:bCs/>
          <w:sz w:val="22"/>
          <w:szCs w:val="22"/>
        </w:rPr>
        <w:t>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proračunskim klasifikacijama (NN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Upute za izradu</w:t>
      </w:r>
      <w:r>
        <w:rPr>
          <w:rFonts w:ascii="Arial" w:hAnsi="Arial" w:cs="Arial"/>
          <w:bCs/>
          <w:sz w:val="22"/>
          <w:szCs w:val="22"/>
        </w:rPr>
        <w:t xml:space="preserve"> Proračuna Istarske županije za 2025.-2027. godine (Kl. 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kriterijima, mjerilima i načinu financiranja decentraliziranih funkcija osnovnog školstva za 2024. godinu – Skupština Istarske županije (Kl. 400-08/</w:t>
      </w:r>
      <w:r>
        <w:rPr>
          <w:rFonts w:ascii="Arial" w:hAnsi="Arial" w:cs="Arial"/>
          <w:bCs/>
          <w:sz w:val="22"/>
          <w:szCs w:val="22"/>
        </w:rPr>
        <w:t>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izvođenju izleta,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program rada škole za školsku</w:t>
      </w:r>
      <w:r>
        <w:rPr>
          <w:rFonts w:ascii="Arial" w:hAnsi="Arial" w:cs="Arial"/>
          <w:bCs/>
          <w:sz w:val="22"/>
          <w:szCs w:val="22"/>
        </w:rPr>
        <w:t xml:space="preserve">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plaćama u državnoj služ</w:t>
      </w:r>
      <w:r>
        <w:rPr>
          <w:rFonts w:ascii="Arial" w:hAnsi="Arial" w:cs="Arial"/>
          <w:bCs/>
          <w:sz w:val="22"/>
          <w:szCs w:val="22"/>
        </w:rPr>
        <w:t>bi i javnim službama (NN 155/23)</w:t>
      </w: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Zaključak o sufinanciranju programa produženog boravka u školskoj godini 2024./25. (kl. 602-02/24-02/289, ur.br. 2163-05/4-24-10) – Istarska županija</w:t>
      </w:r>
    </w:p>
    <w:p w:rsidR="001F6839" w:rsidRDefault="001F6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6839" w:rsidRDefault="001F683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F6839" w:rsidRDefault="00857166">
      <w:pPr>
        <w:numPr>
          <w:ilvl w:val="0"/>
          <w:numId w:val="1"/>
        </w:numPr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NAZIV PROGRAMA: OPREMANJE U OSNOVNIM ŠKOLAMA 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.1. NAZIV AKTIVNOSTI I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PROJEKATA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K240501 Školski namještaj i oprema; K240502 Opremanje knjižnica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ZAKONSKE I DRUGE PODLOGE NA KOJIMA SE 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Zakon o 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</w:t>
      </w:r>
      <w:r>
        <w:rPr>
          <w:rFonts w:ascii="Arial" w:hAnsi="Arial" w:cs="Arial"/>
          <w:bCs/>
          <w:sz w:val="22"/>
          <w:szCs w:val="22"/>
        </w:rPr>
        <w:t xml:space="preserve">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proračunskim klasifikacijama (NN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Upute za izradu Proračuna Istarske županije za 2025.-2027. godine (Kl. 400-08/24-01/21, ur.br.: </w:t>
      </w:r>
      <w:r>
        <w:rPr>
          <w:rFonts w:ascii="Arial" w:hAnsi="Arial" w:cs="Arial"/>
          <w:bCs/>
          <w:sz w:val="22"/>
          <w:szCs w:val="22"/>
        </w:rPr>
        <w:t>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kriterijima, mjerilima i načinu financiranja decentraliziranih funkcija osnovnog školstva za 2024. godinu – Skupština Istarske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izvođenju izleta, ekskurzija i drugi</w:t>
      </w:r>
      <w:r>
        <w:rPr>
          <w:rFonts w:ascii="Arial" w:hAnsi="Arial" w:cs="Arial"/>
          <w:bCs/>
          <w:sz w:val="22"/>
          <w:szCs w:val="22"/>
        </w:rPr>
        <w:t xml:space="preserve">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program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plaćama u državnoj službi i javnim službama (NN 155/23)</w:t>
      </w: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Zaključak o sufinanciranju programa produženog b</w:t>
      </w:r>
      <w:r>
        <w:rPr>
          <w:rFonts w:ascii="Arial" w:hAnsi="Arial" w:cs="Arial"/>
          <w:bCs/>
          <w:sz w:val="22"/>
          <w:szCs w:val="22"/>
        </w:rPr>
        <w:t>oravka u školskoj godini 2024./25. (kl. 602-02/24-02/289, ur.br. 2163-05/4-24-10) – Istarska županija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:rsidR="001F6839" w:rsidRDefault="0085716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Sve je veća potreba, zbog suvremenosti nastave i promjena u obrazovanju,  praćenje tehnologije koja će pomoći osuvrem</w:t>
      </w:r>
      <w:r>
        <w:rPr>
          <w:rFonts w:ascii="Arial" w:eastAsia="Calibri" w:hAnsi="Arial" w:cs="Arial"/>
          <w:sz w:val="22"/>
          <w:szCs w:val="22"/>
        </w:rPr>
        <w:t xml:space="preserve">enjivanje odgojno - obrazovnog procesa, budući da su u školi mnoge stvari vezane za tehnologiju.  Potrebno je stalno ulaganje u sredstava i nastavna pomagala u učionicama, koja su neophodna za kvalitetno odvijanje nastavnog procesa.  </w:t>
      </w:r>
      <w:r>
        <w:rPr>
          <w:rFonts w:ascii="Arial" w:eastAsia="Arial" w:hAnsi="Arial" w:cs="Arial"/>
          <w:sz w:val="22"/>
          <w:szCs w:val="22"/>
        </w:rPr>
        <w:t>Program Školskog namje</w:t>
      </w:r>
      <w:r>
        <w:rPr>
          <w:rFonts w:ascii="Arial" w:eastAsia="Arial" w:hAnsi="Arial" w:cs="Arial"/>
          <w:sz w:val="22"/>
          <w:szCs w:val="22"/>
        </w:rPr>
        <w:t>štaja i opreme ( aktivnost 2405) – opremanje škole financira se dijelom iz vlastitih prihoda, iz proračuna Općine Barban, te donacija. Aktivnost Opremanje knjižnica financira se sredstvima Ministarstva;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proračuna Istarske županije, Općine Barban i donacija</w:t>
      </w:r>
      <w:r>
        <w:rPr>
          <w:rFonts w:ascii="Arial" w:eastAsia="Arial" w:hAnsi="Arial" w:cs="Arial"/>
          <w:sz w:val="22"/>
          <w:szCs w:val="22"/>
        </w:rPr>
        <w:t>ma.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F6839" w:rsidRDefault="001F6839">
      <w:pPr>
        <w:jc w:val="both"/>
        <w:rPr>
          <w:rFonts w:ascii="Arial" w:eastAsia="Arial" w:hAnsi="Arial" w:cs="Arial"/>
          <w:sz w:val="22"/>
          <w:szCs w:val="22"/>
        </w:rPr>
      </w:pPr>
    </w:p>
    <w:p w:rsidR="001F6839" w:rsidRDefault="008571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USPJEŠNOSTI – provođenje mjera </w:t>
      </w:r>
      <w:r>
        <w:rPr>
          <w:rFonts w:ascii="Arial" w:hAnsi="Arial" w:cs="Arial"/>
          <w:color w:val="000000"/>
          <w:sz w:val="22"/>
          <w:szCs w:val="22"/>
        </w:rPr>
        <w:t>2.1.2. Osiguranje i poboljšanje dostupnosti odgoja i obrazovanja djeci i njihovim roditeljima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p w:rsidR="001F6839" w:rsidRDefault="001F6839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2.1.1.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Izgradnja, rekonstrukcija, dogradnja i opremanje predškolskih ustanova, osnovnih i srednjih škola, te učeničkih domova.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K2405 Opremanje u osnovnim školama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K240501; K240502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 K240510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386,00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1F6839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386,00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:rsidR="001F6839" w:rsidRDefault="001F6839">
      <w:pPr>
        <w:jc w:val="both"/>
        <w:rPr>
          <w:rFonts w:ascii="Arial" w:eastAsia="Calibri" w:hAnsi="Arial" w:cs="Arial"/>
          <w:sz w:val="22"/>
          <w:szCs w:val="22"/>
        </w:rPr>
      </w:pPr>
    </w:p>
    <w:p w:rsidR="001F6839" w:rsidRDefault="001F6839">
      <w:pPr>
        <w:jc w:val="both"/>
        <w:rPr>
          <w:rFonts w:ascii="Arial" w:hAnsi="Arial" w:cs="Arial"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:rsidR="001F6839" w:rsidRDefault="0085716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mjere </w:t>
      </w:r>
      <w:r>
        <w:rPr>
          <w:rFonts w:ascii="Arial" w:hAnsi="Arial" w:cs="Arial"/>
          <w:color w:val="000000"/>
          <w:sz w:val="22"/>
          <w:szCs w:val="22"/>
        </w:rPr>
        <w:t xml:space="preserve">2.1.1. </w:t>
      </w:r>
      <w:r>
        <w:rPr>
          <w:rFonts w:ascii="Arial" w:hAnsi="Arial" w:cs="Arial"/>
          <w:sz w:val="22"/>
          <w:szCs w:val="22"/>
          <w:lang w:eastAsia="en-US"/>
        </w:rPr>
        <w:t>Izgradnja, rekonstrukcija, dogradnja i opremanje predškolskih ustanova, osnovnih i srednjih škola, te učeničkih domova.</w:t>
      </w:r>
    </w:p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2840"/>
        <w:gridCol w:w="1365"/>
        <w:gridCol w:w="1384"/>
        <w:gridCol w:w="1197"/>
        <w:gridCol w:w="1268"/>
        <w:gridCol w:w="240"/>
      </w:tblGrid>
      <w:tr w:rsidR="001F6839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1F6839">
        <w:trPr>
          <w:trHeight w:val="481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5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Nastavak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opremanja učionica interaktivnim kompletima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6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školskih prostora klima uređajima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6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knjižnice obaveznom lektirom i ostalom knjižnom građom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628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Zamjena školskih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klupa i stolica u blagovaoni i učionicama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62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kuhinje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6839" w:rsidRDefault="0085716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NAZIV PROGRAMA: 9211 MOZAIK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F6839" w:rsidRDefault="00857166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NAZIV AKTIVNOSTI I PROJEKATA 9211 MOZAIK </w:t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ZAKONSKE I DRUGE PODLOGE NA KOJIMA SE </w:t>
      </w:r>
      <w:r>
        <w:rPr>
          <w:rFonts w:ascii="Arial" w:hAnsi="Arial" w:cs="Arial"/>
          <w:bCs/>
          <w:sz w:val="22"/>
          <w:szCs w:val="22"/>
        </w:rPr>
        <w:t>ZASNIVA PROGRAM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ustanovama (NN 76/93 do 151/22)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Zakon o odgoju i obrazovanju u osnovnoj i srednjoj školi (NN 87/08 do 156/23)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proračunu (NN 144/21)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o proračunskom računovodstvu i računskom planu (NN 158/23)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proračunskim klasifikacijama (NN 04/2024)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Upute za izradu Proračuna Istarske županije za 2025.-2027. godine (Kl. 400-08/24-01/21, ur.br.: 2163-07-01/3-24-1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kriterijima, mjerilima i načinu financiranja decentraliziranih funkcija osnovn</w:t>
      </w:r>
      <w:r>
        <w:rPr>
          <w:rFonts w:ascii="Arial" w:hAnsi="Arial" w:cs="Arial"/>
          <w:bCs/>
          <w:sz w:val="22"/>
          <w:szCs w:val="22"/>
        </w:rPr>
        <w:t>og školstva za 2024. godinu – Skupština Istarske županije (Kl. 400-08/24-01/16, ur.br. 2163-01/3-24-3)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Pravilnik o izvođenju izleta, ekskurzija i drugih odgojno obrazovnih aktivnosti izvan škole (NN 67/14, 81/15, 53/21) 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Provedbeni program Istarske županij</w:t>
      </w:r>
      <w:r>
        <w:rPr>
          <w:rFonts w:ascii="Arial" w:hAnsi="Arial" w:cs="Arial"/>
          <w:bCs/>
          <w:sz w:val="22"/>
          <w:szCs w:val="22"/>
        </w:rPr>
        <w:t>e za razdoblje 2022-2025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Godišnji plan i program rada škole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Školski kurikulum za školsku godinu 2024/25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 Osnovne škole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Kolektivni ugovor za zaposlenike u osnovnoškolskim ustanovama (NN 51/18)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Temeljni kolektivni ugovor za za</w:t>
      </w:r>
      <w:r>
        <w:rPr>
          <w:rFonts w:ascii="Arial" w:hAnsi="Arial" w:cs="Arial"/>
          <w:bCs/>
          <w:sz w:val="22"/>
          <w:szCs w:val="22"/>
        </w:rPr>
        <w:t>poslenike u javnim službama (NN 29/24)</w:t>
      </w:r>
    </w:p>
    <w:p w:rsidR="001F6839" w:rsidRDefault="008571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Zakon o plaćama u državnoj službi i javnim službama (NN 155/23)</w:t>
      </w:r>
    </w:p>
    <w:p w:rsidR="001F6839" w:rsidRDefault="00857166">
      <w:pPr>
        <w:pStyle w:val="Odlomakpopisa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Zaključak o sufinanciranju programa produženog boravka u školskoj godini 2024./25. (kl. 602-02/24-02/289, ur.br. 2163-05/4-24-10) – Istarska županija</w:t>
      </w:r>
    </w:p>
    <w:p w:rsidR="001F6839" w:rsidRDefault="001F683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1F6839" w:rsidRDefault="008571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</w:t>
      </w:r>
      <w:r>
        <w:rPr>
          <w:sz w:val="22"/>
          <w:szCs w:val="22"/>
        </w:rPr>
        <w:t>RAZLOŽENJE AKTIVNOSTI I PROJEKATA</w:t>
      </w:r>
    </w:p>
    <w:p w:rsidR="001F6839" w:rsidRDefault="0085716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Projekt </w:t>
      </w:r>
      <w:r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Mozaik </w:t>
      </w:r>
      <w:r>
        <w:rPr>
          <w:rStyle w:val="Naglaeno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7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projekt je prijavljen na natječaj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>
        <w:rPr>
          <w:rStyle w:val="Istaknuto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„Osiguravanje pomoćnika u nastavi i stručnih komunikacijskih posrednika učenicima s teškoćama u razvoju u osnovnoškolskim i srednjoškolskim odgojno-obrazovnim ustanovama, </w:t>
      </w:r>
      <w:r>
        <w:rPr>
          <w:rStyle w:val="Istaknuto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faza IV“.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</w:p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6839" w:rsidRDefault="008571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USPJEŠNOSTI – provođenje mjera </w:t>
      </w:r>
      <w:r>
        <w:rPr>
          <w:rFonts w:ascii="Arial" w:hAnsi="Arial" w:cs="Arial"/>
          <w:color w:val="000000"/>
          <w:sz w:val="22"/>
          <w:szCs w:val="22"/>
        </w:rPr>
        <w:t>2.1.2. Osiguranje i poboljšanje dostupnosti odgoja i obrazovanja djeci i njihovim roditeljima</w:t>
      </w:r>
    </w:p>
    <w:p w:rsidR="001F6839" w:rsidRDefault="001F6839">
      <w:pPr>
        <w:rPr>
          <w:rFonts w:ascii="Arial" w:hAnsi="Arial" w:cs="Arial"/>
          <w:sz w:val="22"/>
          <w:szCs w:val="22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1F6839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1F6839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1F6839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2. PAMETNA REGIJA ZNANJA PREPOZNATLJIVA PO VISOKOJ KVALITETI ŽIVOTA, DOSTUPNOM OBRAZOVANJU I UKLJUČIVOSTI</w:t>
            </w:r>
          </w:p>
        </w:tc>
      </w:tr>
      <w:tr w:rsidR="001F6839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1F6839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Provedba projekta MOZAIK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</w:p>
        </w:tc>
      </w:tr>
      <w:tr w:rsidR="001F6839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00,00EUR</w:t>
            </w:r>
          </w:p>
        </w:tc>
      </w:tr>
    </w:tbl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6839" w:rsidRDefault="00857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:rsidR="001F6839" w:rsidRDefault="0085716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rezultata za mjere </w:t>
      </w:r>
      <w:r>
        <w:rPr>
          <w:rFonts w:ascii="Arial" w:hAnsi="Arial" w:cs="Arial"/>
          <w:color w:val="000000"/>
          <w:sz w:val="22"/>
          <w:szCs w:val="22"/>
        </w:rPr>
        <w:t xml:space="preserve">2.1.2. Osiguranje i poboljšanje dostupnosti odgoja i obrazovanja djeci i njihovim roditeljima </w:t>
      </w:r>
    </w:p>
    <w:p w:rsidR="001F6839" w:rsidRDefault="001F6839">
      <w:pPr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2840"/>
        <w:gridCol w:w="1365"/>
        <w:gridCol w:w="1384"/>
        <w:gridCol w:w="1197"/>
        <w:gridCol w:w="1268"/>
        <w:gridCol w:w="240"/>
      </w:tblGrid>
      <w:tr w:rsidR="001F6839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učenika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1F6839">
        <w:trPr>
          <w:trHeight w:val="43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39" w:rsidRDefault="001F68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6839">
        <w:trPr>
          <w:trHeight w:val="18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39" w:rsidRDefault="0085716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Osiguranje pomoćnika učenicima s teškoćama u razvoju </w:t>
            </w:r>
            <w:r>
              <w:rPr>
                <w:rFonts w:ascii="Arial" w:hAnsi="Arial" w:cs="Arial"/>
                <w:sz w:val="18"/>
                <w:szCs w:val="18"/>
              </w:rPr>
              <w:t>poboljšava njihov odgojno-obrazovni uspjeh, potiče uspješniju socijalizaciju i emocionalno funkcioniranje te donosi napredak u razvoju vještina i sposobnosti u školskoj sredini.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1F6839" w:rsidRDefault="001F68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8571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839" w:rsidRDefault="001F68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F6839" w:rsidRDefault="00857166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</w:p>
    <w:p w:rsidR="001F6839" w:rsidRDefault="00857166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</w:p>
    <w:p w:rsidR="001F6839" w:rsidRDefault="00857166">
      <w:pPr>
        <w:ind w:left="6372" w:firstLine="708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w:drawing>
          <wp:inline distT="0" distB="0" distL="114300" distR="114300">
            <wp:extent cx="214312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839">
      <w:headerReference w:type="first" r:id="rId9"/>
      <w:pgSz w:w="11906" w:h="16838"/>
      <w:pgMar w:top="851" w:right="1418" w:bottom="851" w:left="1418" w:header="709" w:footer="709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66" w:rsidRDefault="00857166">
      <w:r>
        <w:separator/>
      </w:r>
    </w:p>
  </w:endnote>
  <w:endnote w:type="continuationSeparator" w:id="0">
    <w:p w:rsidR="00857166" w:rsidRDefault="0085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66" w:rsidRDefault="00857166">
      <w:r>
        <w:separator/>
      </w:r>
    </w:p>
  </w:footnote>
  <w:footnote w:type="continuationSeparator" w:id="0">
    <w:p w:rsidR="00857166" w:rsidRDefault="0085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839" w:rsidRDefault="001F6839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D4B00"/>
    <w:multiLevelType w:val="multilevel"/>
    <w:tmpl w:val="6F2D4B00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F7"/>
    <w:rsid w:val="000017A9"/>
    <w:rsid w:val="00001B8F"/>
    <w:rsid w:val="00002545"/>
    <w:rsid w:val="00003AF2"/>
    <w:rsid w:val="00010660"/>
    <w:rsid w:val="000130AB"/>
    <w:rsid w:val="00016D92"/>
    <w:rsid w:val="00017A48"/>
    <w:rsid w:val="00020505"/>
    <w:rsid w:val="0002294F"/>
    <w:rsid w:val="00024B36"/>
    <w:rsid w:val="00025E5C"/>
    <w:rsid w:val="00026C81"/>
    <w:rsid w:val="00030A6B"/>
    <w:rsid w:val="000332A4"/>
    <w:rsid w:val="0003694A"/>
    <w:rsid w:val="00040904"/>
    <w:rsid w:val="00040CCA"/>
    <w:rsid w:val="00041564"/>
    <w:rsid w:val="00045A7A"/>
    <w:rsid w:val="00047220"/>
    <w:rsid w:val="000517C8"/>
    <w:rsid w:val="00051E49"/>
    <w:rsid w:val="00054700"/>
    <w:rsid w:val="000571C3"/>
    <w:rsid w:val="00057699"/>
    <w:rsid w:val="00061C9F"/>
    <w:rsid w:val="00070E89"/>
    <w:rsid w:val="000713E5"/>
    <w:rsid w:val="00071839"/>
    <w:rsid w:val="00071973"/>
    <w:rsid w:val="00071D5E"/>
    <w:rsid w:val="00071D75"/>
    <w:rsid w:val="0007238E"/>
    <w:rsid w:val="00073159"/>
    <w:rsid w:val="000851F7"/>
    <w:rsid w:val="00086BE9"/>
    <w:rsid w:val="000944A8"/>
    <w:rsid w:val="00094EF3"/>
    <w:rsid w:val="00097564"/>
    <w:rsid w:val="000A4055"/>
    <w:rsid w:val="000B0C2B"/>
    <w:rsid w:val="000B6DCD"/>
    <w:rsid w:val="000C0337"/>
    <w:rsid w:val="000C064E"/>
    <w:rsid w:val="000C3566"/>
    <w:rsid w:val="000D30EB"/>
    <w:rsid w:val="000D76EB"/>
    <w:rsid w:val="000D7F7E"/>
    <w:rsid w:val="000E1629"/>
    <w:rsid w:val="000E4672"/>
    <w:rsid w:val="000E5804"/>
    <w:rsid w:val="000E6148"/>
    <w:rsid w:val="000E755F"/>
    <w:rsid w:val="000F1ABD"/>
    <w:rsid w:val="000F4ED0"/>
    <w:rsid w:val="000F5507"/>
    <w:rsid w:val="000F6DB2"/>
    <w:rsid w:val="000F740E"/>
    <w:rsid w:val="000F7A7D"/>
    <w:rsid w:val="000F7A8B"/>
    <w:rsid w:val="00104F45"/>
    <w:rsid w:val="0010600B"/>
    <w:rsid w:val="0011193B"/>
    <w:rsid w:val="00112D7A"/>
    <w:rsid w:val="00113DDB"/>
    <w:rsid w:val="001151C0"/>
    <w:rsid w:val="00116612"/>
    <w:rsid w:val="001173EA"/>
    <w:rsid w:val="0012508B"/>
    <w:rsid w:val="001272F4"/>
    <w:rsid w:val="0013181F"/>
    <w:rsid w:val="00133C33"/>
    <w:rsid w:val="00134CFA"/>
    <w:rsid w:val="001437EB"/>
    <w:rsid w:val="001451F2"/>
    <w:rsid w:val="001456CC"/>
    <w:rsid w:val="00146CCB"/>
    <w:rsid w:val="00147254"/>
    <w:rsid w:val="00156118"/>
    <w:rsid w:val="00160307"/>
    <w:rsid w:val="00165AA4"/>
    <w:rsid w:val="0016697D"/>
    <w:rsid w:val="00166D33"/>
    <w:rsid w:val="00171EEB"/>
    <w:rsid w:val="00173A3E"/>
    <w:rsid w:val="001752AD"/>
    <w:rsid w:val="001752D2"/>
    <w:rsid w:val="001753FA"/>
    <w:rsid w:val="00176707"/>
    <w:rsid w:val="00180293"/>
    <w:rsid w:val="00180317"/>
    <w:rsid w:val="0018288A"/>
    <w:rsid w:val="00186582"/>
    <w:rsid w:val="001912D6"/>
    <w:rsid w:val="001947D0"/>
    <w:rsid w:val="001954D3"/>
    <w:rsid w:val="00196BCF"/>
    <w:rsid w:val="001A5556"/>
    <w:rsid w:val="001B0585"/>
    <w:rsid w:val="001B4FF0"/>
    <w:rsid w:val="001B6419"/>
    <w:rsid w:val="001C013D"/>
    <w:rsid w:val="001C100E"/>
    <w:rsid w:val="001C2E82"/>
    <w:rsid w:val="001C3F29"/>
    <w:rsid w:val="001C5AC8"/>
    <w:rsid w:val="001D349F"/>
    <w:rsid w:val="001E1A9B"/>
    <w:rsid w:val="001E2436"/>
    <w:rsid w:val="001E2D80"/>
    <w:rsid w:val="001E3FEB"/>
    <w:rsid w:val="001F0148"/>
    <w:rsid w:val="001F45DC"/>
    <w:rsid w:val="001F6839"/>
    <w:rsid w:val="00200B7C"/>
    <w:rsid w:val="002030BD"/>
    <w:rsid w:val="00204A44"/>
    <w:rsid w:val="00211250"/>
    <w:rsid w:val="00220BF9"/>
    <w:rsid w:val="002243B4"/>
    <w:rsid w:val="00225815"/>
    <w:rsid w:val="002278EF"/>
    <w:rsid w:val="00233813"/>
    <w:rsid w:val="00237118"/>
    <w:rsid w:val="00242AD5"/>
    <w:rsid w:val="002460D4"/>
    <w:rsid w:val="0024740B"/>
    <w:rsid w:val="00247894"/>
    <w:rsid w:val="00253A97"/>
    <w:rsid w:val="00257A90"/>
    <w:rsid w:val="00260B1A"/>
    <w:rsid w:val="002611AC"/>
    <w:rsid w:val="00261602"/>
    <w:rsid w:val="002630C8"/>
    <w:rsid w:val="00263668"/>
    <w:rsid w:val="00280BAF"/>
    <w:rsid w:val="00287A9D"/>
    <w:rsid w:val="00290133"/>
    <w:rsid w:val="00297DF1"/>
    <w:rsid w:val="002A18C6"/>
    <w:rsid w:val="002A20A1"/>
    <w:rsid w:val="002A21C4"/>
    <w:rsid w:val="002A29A4"/>
    <w:rsid w:val="002A4822"/>
    <w:rsid w:val="002A62B6"/>
    <w:rsid w:val="002A6939"/>
    <w:rsid w:val="002B1850"/>
    <w:rsid w:val="002B2F87"/>
    <w:rsid w:val="002C11F2"/>
    <w:rsid w:val="002C2CBB"/>
    <w:rsid w:val="002D0B1F"/>
    <w:rsid w:val="002D36D6"/>
    <w:rsid w:val="002D60FB"/>
    <w:rsid w:val="002E07DD"/>
    <w:rsid w:val="002E29BC"/>
    <w:rsid w:val="002E2D10"/>
    <w:rsid w:val="002F01D9"/>
    <w:rsid w:val="002F05C7"/>
    <w:rsid w:val="002F08B8"/>
    <w:rsid w:val="002F20C1"/>
    <w:rsid w:val="002F35AB"/>
    <w:rsid w:val="002F57FC"/>
    <w:rsid w:val="002F77B9"/>
    <w:rsid w:val="00304634"/>
    <w:rsid w:val="0031091E"/>
    <w:rsid w:val="00310DA2"/>
    <w:rsid w:val="0031202C"/>
    <w:rsid w:val="00312341"/>
    <w:rsid w:val="00313DB6"/>
    <w:rsid w:val="00314876"/>
    <w:rsid w:val="00316509"/>
    <w:rsid w:val="00317740"/>
    <w:rsid w:val="0032101F"/>
    <w:rsid w:val="00321CC2"/>
    <w:rsid w:val="003220F2"/>
    <w:rsid w:val="003228EF"/>
    <w:rsid w:val="00326BF5"/>
    <w:rsid w:val="00327092"/>
    <w:rsid w:val="00334B25"/>
    <w:rsid w:val="0033598B"/>
    <w:rsid w:val="00335DBB"/>
    <w:rsid w:val="00337AF2"/>
    <w:rsid w:val="00337C2E"/>
    <w:rsid w:val="003531D7"/>
    <w:rsid w:val="003572D6"/>
    <w:rsid w:val="0036071A"/>
    <w:rsid w:val="003618C8"/>
    <w:rsid w:val="00362A67"/>
    <w:rsid w:val="003661B2"/>
    <w:rsid w:val="00370F16"/>
    <w:rsid w:val="003747D7"/>
    <w:rsid w:val="003827CD"/>
    <w:rsid w:val="00385174"/>
    <w:rsid w:val="00385A94"/>
    <w:rsid w:val="003913A1"/>
    <w:rsid w:val="00392AD4"/>
    <w:rsid w:val="00392C30"/>
    <w:rsid w:val="00393A3B"/>
    <w:rsid w:val="0039565F"/>
    <w:rsid w:val="003A00F8"/>
    <w:rsid w:val="003A07A9"/>
    <w:rsid w:val="003A109F"/>
    <w:rsid w:val="003A1426"/>
    <w:rsid w:val="003A32E8"/>
    <w:rsid w:val="003A35E4"/>
    <w:rsid w:val="003A5856"/>
    <w:rsid w:val="003B0F35"/>
    <w:rsid w:val="003B2196"/>
    <w:rsid w:val="003B3422"/>
    <w:rsid w:val="003B5EB5"/>
    <w:rsid w:val="003B5EB9"/>
    <w:rsid w:val="003C3ACD"/>
    <w:rsid w:val="003C520F"/>
    <w:rsid w:val="003C5840"/>
    <w:rsid w:val="003C6848"/>
    <w:rsid w:val="003D129E"/>
    <w:rsid w:val="003D2EFA"/>
    <w:rsid w:val="003D33E0"/>
    <w:rsid w:val="003D389B"/>
    <w:rsid w:val="003D3BD4"/>
    <w:rsid w:val="003D6CC2"/>
    <w:rsid w:val="003D770D"/>
    <w:rsid w:val="003E2573"/>
    <w:rsid w:val="003E31B6"/>
    <w:rsid w:val="003E7AE8"/>
    <w:rsid w:val="003F77E0"/>
    <w:rsid w:val="004010D2"/>
    <w:rsid w:val="004036D5"/>
    <w:rsid w:val="004056CB"/>
    <w:rsid w:val="004077CE"/>
    <w:rsid w:val="00410308"/>
    <w:rsid w:val="004114A9"/>
    <w:rsid w:val="00411E68"/>
    <w:rsid w:val="00412BB3"/>
    <w:rsid w:val="0041530E"/>
    <w:rsid w:val="00415522"/>
    <w:rsid w:val="00423DCF"/>
    <w:rsid w:val="004254C9"/>
    <w:rsid w:val="004276AB"/>
    <w:rsid w:val="004310CB"/>
    <w:rsid w:val="004344B7"/>
    <w:rsid w:val="00437E23"/>
    <w:rsid w:val="004420E1"/>
    <w:rsid w:val="0044501C"/>
    <w:rsid w:val="00457311"/>
    <w:rsid w:val="00457317"/>
    <w:rsid w:val="00461CD6"/>
    <w:rsid w:val="00462273"/>
    <w:rsid w:val="004631EF"/>
    <w:rsid w:val="00463716"/>
    <w:rsid w:val="00477D04"/>
    <w:rsid w:val="00490480"/>
    <w:rsid w:val="00494A47"/>
    <w:rsid w:val="004979BA"/>
    <w:rsid w:val="004A10C5"/>
    <w:rsid w:val="004A4D15"/>
    <w:rsid w:val="004A5765"/>
    <w:rsid w:val="004A7A7E"/>
    <w:rsid w:val="004B3FD1"/>
    <w:rsid w:val="004B4B18"/>
    <w:rsid w:val="004B6BEF"/>
    <w:rsid w:val="004B741E"/>
    <w:rsid w:val="004C2ED4"/>
    <w:rsid w:val="004C60A2"/>
    <w:rsid w:val="004C677E"/>
    <w:rsid w:val="004C6BFA"/>
    <w:rsid w:val="004D18A6"/>
    <w:rsid w:val="004D20D6"/>
    <w:rsid w:val="004D53E5"/>
    <w:rsid w:val="004E2A38"/>
    <w:rsid w:val="004E3A09"/>
    <w:rsid w:val="004E55B3"/>
    <w:rsid w:val="004E5FBC"/>
    <w:rsid w:val="004F0F88"/>
    <w:rsid w:val="004F27BC"/>
    <w:rsid w:val="004F3693"/>
    <w:rsid w:val="004F740B"/>
    <w:rsid w:val="00500D8E"/>
    <w:rsid w:val="00504B2E"/>
    <w:rsid w:val="00506A0F"/>
    <w:rsid w:val="00510C48"/>
    <w:rsid w:val="005115D6"/>
    <w:rsid w:val="0053259A"/>
    <w:rsid w:val="00532C3D"/>
    <w:rsid w:val="00533B55"/>
    <w:rsid w:val="00534B30"/>
    <w:rsid w:val="0053611A"/>
    <w:rsid w:val="00540640"/>
    <w:rsid w:val="005422D1"/>
    <w:rsid w:val="00545520"/>
    <w:rsid w:val="00550445"/>
    <w:rsid w:val="00553D77"/>
    <w:rsid w:val="005550BB"/>
    <w:rsid w:val="005551DF"/>
    <w:rsid w:val="00557889"/>
    <w:rsid w:val="00561E4B"/>
    <w:rsid w:val="00562BA6"/>
    <w:rsid w:val="00566143"/>
    <w:rsid w:val="0056651E"/>
    <w:rsid w:val="00567761"/>
    <w:rsid w:val="00577773"/>
    <w:rsid w:val="00583F71"/>
    <w:rsid w:val="0058647C"/>
    <w:rsid w:val="00590235"/>
    <w:rsid w:val="00590BEC"/>
    <w:rsid w:val="00590EB3"/>
    <w:rsid w:val="005915E7"/>
    <w:rsid w:val="00591EE3"/>
    <w:rsid w:val="005926F1"/>
    <w:rsid w:val="005932E2"/>
    <w:rsid w:val="0059573D"/>
    <w:rsid w:val="00597E4A"/>
    <w:rsid w:val="005A0480"/>
    <w:rsid w:val="005A3F31"/>
    <w:rsid w:val="005B00AB"/>
    <w:rsid w:val="005C0405"/>
    <w:rsid w:val="005C1D1C"/>
    <w:rsid w:val="005C311D"/>
    <w:rsid w:val="005C3AAF"/>
    <w:rsid w:val="005C7926"/>
    <w:rsid w:val="005D1E8D"/>
    <w:rsid w:val="005E0FB9"/>
    <w:rsid w:val="005E2D47"/>
    <w:rsid w:val="005E3EE9"/>
    <w:rsid w:val="005F14F6"/>
    <w:rsid w:val="00600E05"/>
    <w:rsid w:val="006023BD"/>
    <w:rsid w:val="00603B0A"/>
    <w:rsid w:val="00605739"/>
    <w:rsid w:val="0061113E"/>
    <w:rsid w:val="00613611"/>
    <w:rsid w:val="00613664"/>
    <w:rsid w:val="00614D8E"/>
    <w:rsid w:val="00615E4B"/>
    <w:rsid w:val="00616B67"/>
    <w:rsid w:val="00616C5D"/>
    <w:rsid w:val="006178B5"/>
    <w:rsid w:val="006224A0"/>
    <w:rsid w:val="006230E7"/>
    <w:rsid w:val="0062376A"/>
    <w:rsid w:val="00625554"/>
    <w:rsid w:val="00626548"/>
    <w:rsid w:val="0062759F"/>
    <w:rsid w:val="00630A93"/>
    <w:rsid w:val="0063114C"/>
    <w:rsid w:val="0063690E"/>
    <w:rsid w:val="00636932"/>
    <w:rsid w:val="00637693"/>
    <w:rsid w:val="00643064"/>
    <w:rsid w:val="00655517"/>
    <w:rsid w:val="006557B8"/>
    <w:rsid w:val="00661130"/>
    <w:rsid w:val="0066156C"/>
    <w:rsid w:val="00661969"/>
    <w:rsid w:val="00661BD6"/>
    <w:rsid w:val="006623E4"/>
    <w:rsid w:val="00662E9F"/>
    <w:rsid w:val="0066328A"/>
    <w:rsid w:val="00663AC8"/>
    <w:rsid w:val="0066444D"/>
    <w:rsid w:val="006650C0"/>
    <w:rsid w:val="006656C8"/>
    <w:rsid w:val="00666497"/>
    <w:rsid w:val="00672447"/>
    <w:rsid w:val="00673446"/>
    <w:rsid w:val="00673811"/>
    <w:rsid w:val="00675499"/>
    <w:rsid w:val="00676236"/>
    <w:rsid w:val="006765CB"/>
    <w:rsid w:val="006809D6"/>
    <w:rsid w:val="006828BE"/>
    <w:rsid w:val="006828F7"/>
    <w:rsid w:val="006855BF"/>
    <w:rsid w:val="00687D6E"/>
    <w:rsid w:val="006908A8"/>
    <w:rsid w:val="006A329B"/>
    <w:rsid w:val="006A67AA"/>
    <w:rsid w:val="006B78A6"/>
    <w:rsid w:val="006C0E6D"/>
    <w:rsid w:val="006C4548"/>
    <w:rsid w:val="006C5944"/>
    <w:rsid w:val="006D1699"/>
    <w:rsid w:val="006D44C1"/>
    <w:rsid w:val="006D5012"/>
    <w:rsid w:val="006E1153"/>
    <w:rsid w:val="006E5F5C"/>
    <w:rsid w:val="006E68E4"/>
    <w:rsid w:val="006E7DA7"/>
    <w:rsid w:val="006F064E"/>
    <w:rsid w:val="006F1665"/>
    <w:rsid w:val="006F233C"/>
    <w:rsid w:val="006F4971"/>
    <w:rsid w:val="006F735C"/>
    <w:rsid w:val="00701212"/>
    <w:rsid w:val="00705EB7"/>
    <w:rsid w:val="00714748"/>
    <w:rsid w:val="00715F40"/>
    <w:rsid w:val="00720EBE"/>
    <w:rsid w:val="00721B99"/>
    <w:rsid w:val="00724788"/>
    <w:rsid w:val="00724999"/>
    <w:rsid w:val="00725306"/>
    <w:rsid w:val="00726DA0"/>
    <w:rsid w:val="00726E98"/>
    <w:rsid w:val="00730365"/>
    <w:rsid w:val="00732E34"/>
    <w:rsid w:val="00733362"/>
    <w:rsid w:val="00733DB9"/>
    <w:rsid w:val="0074378D"/>
    <w:rsid w:val="00743D79"/>
    <w:rsid w:val="00746635"/>
    <w:rsid w:val="007506C6"/>
    <w:rsid w:val="00753F29"/>
    <w:rsid w:val="00754905"/>
    <w:rsid w:val="0076010C"/>
    <w:rsid w:val="00760AB9"/>
    <w:rsid w:val="00765206"/>
    <w:rsid w:val="00772764"/>
    <w:rsid w:val="0077398B"/>
    <w:rsid w:val="00773DDF"/>
    <w:rsid w:val="00774849"/>
    <w:rsid w:val="00775A29"/>
    <w:rsid w:val="007807DB"/>
    <w:rsid w:val="00780CE8"/>
    <w:rsid w:val="00781B1C"/>
    <w:rsid w:val="00784DD4"/>
    <w:rsid w:val="00785280"/>
    <w:rsid w:val="00787C0B"/>
    <w:rsid w:val="00791678"/>
    <w:rsid w:val="00796002"/>
    <w:rsid w:val="00797C9B"/>
    <w:rsid w:val="00797D2C"/>
    <w:rsid w:val="007A29E5"/>
    <w:rsid w:val="007A4531"/>
    <w:rsid w:val="007A47C5"/>
    <w:rsid w:val="007A5F6A"/>
    <w:rsid w:val="007B0FB7"/>
    <w:rsid w:val="007B1B8D"/>
    <w:rsid w:val="007B6432"/>
    <w:rsid w:val="007C00D1"/>
    <w:rsid w:val="007C53CF"/>
    <w:rsid w:val="007C57C6"/>
    <w:rsid w:val="007C6F59"/>
    <w:rsid w:val="007C72CA"/>
    <w:rsid w:val="007D49D4"/>
    <w:rsid w:val="007D6D6C"/>
    <w:rsid w:val="007E1FA8"/>
    <w:rsid w:val="007E6541"/>
    <w:rsid w:val="007E6B29"/>
    <w:rsid w:val="007F11D3"/>
    <w:rsid w:val="007F1D90"/>
    <w:rsid w:val="007F5E4F"/>
    <w:rsid w:val="00800060"/>
    <w:rsid w:val="00801B07"/>
    <w:rsid w:val="00803894"/>
    <w:rsid w:val="0080546A"/>
    <w:rsid w:val="00806F6F"/>
    <w:rsid w:val="0081212F"/>
    <w:rsid w:val="0081221B"/>
    <w:rsid w:val="00814CE8"/>
    <w:rsid w:val="008153E0"/>
    <w:rsid w:val="008167C3"/>
    <w:rsid w:val="00816F8D"/>
    <w:rsid w:val="00820D0F"/>
    <w:rsid w:val="008223C3"/>
    <w:rsid w:val="008302F1"/>
    <w:rsid w:val="00831ADF"/>
    <w:rsid w:val="008320C3"/>
    <w:rsid w:val="00832A39"/>
    <w:rsid w:val="00834272"/>
    <w:rsid w:val="00834694"/>
    <w:rsid w:val="0083798E"/>
    <w:rsid w:val="0084205D"/>
    <w:rsid w:val="00843ADE"/>
    <w:rsid w:val="008458C0"/>
    <w:rsid w:val="00845A2B"/>
    <w:rsid w:val="008469B1"/>
    <w:rsid w:val="00851EB3"/>
    <w:rsid w:val="00851EF9"/>
    <w:rsid w:val="00857166"/>
    <w:rsid w:val="008601B2"/>
    <w:rsid w:val="00860C1C"/>
    <w:rsid w:val="00861FFE"/>
    <w:rsid w:val="00862A5C"/>
    <w:rsid w:val="00862FDF"/>
    <w:rsid w:val="00863B61"/>
    <w:rsid w:val="00864588"/>
    <w:rsid w:val="0086652D"/>
    <w:rsid w:val="00871170"/>
    <w:rsid w:val="0087260B"/>
    <w:rsid w:val="00876588"/>
    <w:rsid w:val="008820BF"/>
    <w:rsid w:val="0088218F"/>
    <w:rsid w:val="00886E4B"/>
    <w:rsid w:val="00890EB7"/>
    <w:rsid w:val="00894974"/>
    <w:rsid w:val="00895128"/>
    <w:rsid w:val="0089678B"/>
    <w:rsid w:val="008A25D8"/>
    <w:rsid w:val="008A323C"/>
    <w:rsid w:val="008A469F"/>
    <w:rsid w:val="008A4B55"/>
    <w:rsid w:val="008A5035"/>
    <w:rsid w:val="008A5F83"/>
    <w:rsid w:val="008A65FE"/>
    <w:rsid w:val="008A6BA8"/>
    <w:rsid w:val="008B0341"/>
    <w:rsid w:val="008B6C10"/>
    <w:rsid w:val="008C3FBD"/>
    <w:rsid w:val="008C49A4"/>
    <w:rsid w:val="008C598B"/>
    <w:rsid w:val="008D0384"/>
    <w:rsid w:val="008D0CD6"/>
    <w:rsid w:val="008D3011"/>
    <w:rsid w:val="008D3937"/>
    <w:rsid w:val="008D439F"/>
    <w:rsid w:val="008D524D"/>
    <w:rsid w:val="008E1DFC"/>
    <w:rsid w:val="008E2359"/>
    <w:rsid w:val="008E2704"/>
    <w:rsid w:val="008E360F"/>
    <w:rsid w:val="008E6320"/>
    <w:rsid w:val="008F0913"/>
    <w:rsid w:val="008F2135"/>
    <w:rsid w:val="008F266C"/>
    <w:rsid w:val="008F2A59"/>
    <w:rsid w:val="008F4760"/>
    <w:rsid w:val="008F610A"/>
    <w:rsid w:val="009007AA"/>
    <w:rsid w:val="00905CC4"/>
    <w:rsid w:val="00906B01"/>
    <w:rsid w:val="0091037D"/>
    <w:rsid w:val="009239C5"/>
    <w:rsid w:val="009240C1"/>
    <w:rsid w:val="00930131"/>
    <w:rsid w:val="009361D8"/>
    <w:rsid w:val="00945429"/>
    <w:rsid w:val="00947FB5"/>
    <w:rsid w:val="009504C2"/>
    <w:rsid w:val="009514C0"/>
    <w:rsid w:val="009548FA"/>
    <w:rsid w:val="009566D5"/>
    <w:rsid w:val="009567FB"/>
    <w:rsid w:val="00956D4F"/>
    <w:rsid w:val="00971442"/>
    <w:rsid w:val="00971727"/>
    <w:rsid w:val="009734CF"/>
    <w:rsid w:val="00975229"/>
    <w:rsid w:val="00975CC6"/>
    <w:rsid w:val="009805A5"/>
    <w:rsid w:val="009815E5"/>
    <w:rsid w:val="0098598C"/>
    <w:rsid w:val="00987373"/>
    <w:rsid w:val="0099238E"/>
    <w:rsid w:val="009A08AB"/>
    <w:rsid w:val="009A191C"/>
    <w:rsid w:val="009A2EB2"/>
    <w:rsid w:val="009A5657"/>
    <w:rsid w:val="009A6447"/>
    <w:rsid w:val="009A6ECE"/>
    <w:rsid w:val="009B0D46"/>
    <w:rsid w:val="009B40AF"/>
    <w:rsid w:val="009B6AD0"/>
    <w:rsid w:val="009B6C0E"/>
    <w:rsid w:val="009C0836"/>
    <w:rsid w:val="009C1CFE"/>
    <w:rsid w:val="009C3C54"/>
    <w:rsid w:val="009C4B5D"/>
    <w:rsid w:val="009C62C4"/>
    <w:rsid w:val="009C67DB"/>
    <w:rsid w:val="009C7F97"/>
    <w:rsid w:val="009D0401"/>
    <w:rsid w:val="009D39C7"/>
    <w:rsid w:val="009D449D"/>
    <w:rsid w:val="009E17CB"/>
    <w:rsid w:val="009E380A"/>
    <w:rsid w:val="009E3DD8"/>
    <w:rsid w:val="009E4BF4"/>
    <w:rsid w:val="009E6200"/>
    <w:rsid w:val="009E6DD9"/>
    <w:rsid w:val="009E7B42"/>
    <w:rsid w:val="009E7C78"/>
    <w:rsid w:val="009F2AEF"/>
    <w:rsid w:val="009F38C0"/>
    <w:rsid w:val="009F496A"/>
    <w:rsid w:val="00A0273F"/>
    <w:rsid w:val="00A04414"/>
    <w:rsid w:val="00A06A1C"/>
    <w:rsid w:val="00A06D59"/>
    <w:rsid w:val="00A07544"/>
    <w:rsid w:val="00A1038F"/>
    <w:rsid w:val="00A148CA"/>
    <w:rsid w:val="00A14AB7"/>
    <w:rsid w:val="00A14B8A"/>
    <w:rsid w:val="00A1642E"/>
    <w:rsid w:val="00A1653F"/>
    <w:rsid w:val="00A16826"/>
    <w:rsid w:val="00A208B4"/>
    <w:rsid w:val="00A21848"/>
    <w:rsid w:val="00A224FF"/>
    <w:rsid w:val="00A23407"/>
    <w:rsid w:val="00A31BDA"/>
    <w:rsid w:val="00A337FB"/>
    <w:rsid w:val="00A34DF4"/>
    <w:rsid w:val="00A406A1"/>
    <w:rsid w:val="00A41353"/>
    <w:rsid w:val="00A43BAC"/>
    <w:rsid w:val="00A47759"/>
    <w:rsid w:val="00A52E2E"/>
    <w:rsid w:val="00A54D9C"/>
    <w:rsid w:val="00A556C7"/>
    <w:rsid w:val="00A61CC9"/>
    <w:rsid w:val="00A70CA7"/>
    <w:rsid w:val="00A72055"/>
    <w:rsid w:val="00A744D6"/>
    <w:rsid w:val="00A755A5"/>
    <w:rsid w:val="00A7563E"/>
    <w:rsid w:val="00A80846"/>
    <w:rsid w:val="00A82A85"/>
    <w:rsid w:val="00A841E9"/>
    <w:rsid w:val="00A8486A"/>
    <w:rsid w:val="00A848F7"/>
    <w:rsid w:val="00A84EBE"/>
    <w:rsid w:val="00A900F2"/>
    <w:rsid w:val="00A91DFC"/>
    <w:rsid w:val="00A944B3"/>
    <w:rsid w:val="00A96608"/>
    <w:rsid w:val="00A97EA6"/>
    <w:rsid w:val="00AA032F"/>
    <w:rsid w:val="00AA190D"/>
    <w:rsid w:val="00AA421B"/>
    <w:rsid w:val="00AB0D95"/>
    <w:rsid w:val="00AB2DA1"/>
    <w:rsid w:val="00AB688B"/>
    <w:rsid w:val="00AC08E6"/>
    <w:rsid w:val="00AC0F96"/>
    <w:rsid w:val="00AC337B"/>
    <w:rsid w:val="00AC7220"/>
    <w:rsid w:val="00AD171E"/>
    <w:rsid w:val="00AD283A"/>
    <w:rsid w:val="00AD37AE"/>
    <w:rsid w:val="00AD4820"/>
    <w:rsid w:val="00AD5122"/>
    <w:rsid w:val="00AE3A0D"/>
    <w:rsid w:val="00AE4C34"/>
    <w:rsid w:val="00AE5FA3"/>
    <w:rsid w:val="00AE7E79"/>
    <w:rsid w:val="00AF0035"/>
    <w:rsid w:val="00AF2497"/>
    <w:rsid w:val="00AF53D7"/>
    <w:rsid w:val="00AF5963"/>
    <w:rsid w:val="00AF788F"/>
    <w:rsid w:val="00B00263"/>
    <w:rsid w:val="00B00420"/>
    <w:rsid w:val="00B04614"/>
    <w:rsid w:val="00B046FB"/>
    <w:rsid w:val="00B0586B"/>
    <w:rsid w:val="00B06A81"/>
    <w:rsid w:val="00B1060A"/>
    <w:rsid w:val="00B11004"/>
    <w:rsid w:val="00B1635D"/>
    <w:rsid w:val="00B20C8B"/>
    <w:rsid w:val="00B2234B"/>
    <w:rsid w:val="00B230AA"/>
    <w:rsid w:val="00B267C9"/>
    <w:rsid w:val="00B32EF3"/>
    <w:rsid w:val="00B35199"/>
    <w:rsid w:val="00B37218"/>
    <w:rsid w:val="00B425D7"/>
    <w:rsid w:val="00B43528"/>
    <w:rsid w:val="00B43F06"/>
    <w:rsid w:val="00B455AD"/>
    <w:rsid w:val="00B4698D"/>
    <w:rsid w:val="00B4775A"/>
    <w:rsid w:val="00B50160"/>
    <w:rsid w:val="00B52529"/>
    <w:rsid w:val="00B534EC"/>
    <w:rsid w:val="00B5418E"/>
    <w:rsid w:val="00B61062"/>
    <w:rsid w:val="00B61464"/>
    <w:rsid w:val="00B63107"/>
    <w:rsid w:val="00B66207"/>
    <w:rsid w:val="00B678B0"/>
    <w:rsid w:val="00B7319E"/>
    <w:rsid w:val="00B74095"/>
    <w:rsid w:val="00B76502"/>
    <w:rsid w:val="00B81B05"/>
    <w:rsid w:val="00B822EC"/>
    <w:rsid w:val="00B82424"/>
    <w:rsid w:val="00B83B69"/>
    <w:rsid w:val="00B83B96"/>
    <w:rsid w:val="00B84C5D"/>
    <w:rsid w:val="00B84F5E"/>
    <w:rsid w:val="00B90791"/>
    <w:rsid w:val="00B91132"/>
    <w:rsid w:val="00B93F30"/>
    <w:rsid w:val="00B94F59"/>
    <w:rsid w:val="00B954F4"/>
    <w:rsid w:val="00B9594B"/>
    <w:rsid w:val="00B961EC"/>
    <w:rsid w:val="00B96813"/>
    <w:rsid w:val="00BA123E"/>
    <w:rsid w:val="00BA13AB"/>
    <w:rsid w:val="00BA1BE9"/>
    <w:rsid w:val="00BB0EEF"/>
    <w:rsid w:val="00BB1844"/>
    <w:rsid w:val="00BB38D8"/>
    <w:rsid w:val="00BB40CD"/>
    <w:rsid w:val="00BB45B8"/>
    <w:rsid w:val="00BB5B58"/>
    <w:rsid w:val="00BB5EA1"/>
    <w:rsid w:val="00BB711C"/>
    <w:rsid w:val="00BB7405"/>
    <w:rsid w:val="00BC125E"/>
    <w:rsid w:val="00BC1F16"/>
    <w:rsid w:val="00BC618C"/>
    <w:rsid w:val="00BC66EB"/>
    <w:rsid w:val="00BC6B7F"/>
    <w:rsid w:val="00BD01AC"/>
    <w:rsid w:val="00BD09DD"/>
    <w:rsid w:val="00BD48D3"/>
    <w:rsid w:val="00BD4C0D"/>
    <w:rsid w:val="00BD695A"/>
    <w:rsid w:val="00BE24B3"/>
    <w:rsid w:val="00BE3C28"/>
    <w:rsid w:val="00BE52FB"/>
    <w:rsid w:val="00BE53BE"/>
    <w:rsid w:val="00BF1379"/>
    <w:rsid w:val="00BF392A"/>
    <w:rsid w:val="00BF3C06"/>
    <w:rsid w:val="00BF42B8"/>
    <w:rsid w:val="00BF50A7"/>
    <w:rsid w:val="00C00DDB"/>
    <w:rsid w:val="00C01EA5"/>
    <w:rsid w:val="00C05CCB"/>
    <w:rsid w:val="00C105AD"/>
    <w:rsid w:val="00C16331"/>
    <w:rsid w:val="00C1679F"/>
    <w:rsid w:val="00C21C18"/>
    <w:rsid w:val="00C24B23"/>
    <w:rsid w:val="00C24FF3"/>
    <w:rsid w:val="00C2578D"/>
    <w:rsid w:val="00C25E17"/>
    <w:rsid w:val="00C31C3F"/>
    <w:rsid w:val="00C338F0"/>
    <w:rsid w:val="00C41001"/>
    <w:rsid w:val="00C42F3D"/>
    <w:rsid w:val="00C45C9D"/>
    <w:rsid w:val="00C45D67"/>
    <w:rsid w:val="00C520B1"/>
    <w:rsid w:val="00C547FD"/>
    <w:rsid w:val="00C55ACD"/>
    <w:rsid w:val="00C57B24"/>
    <w:rsid w:val="00C60986"/>
    <w:rsid w:val="00C60D78"/>
    <w:rsid w:val="00C647B7"/>
    <w:rsid w:val="00C67B6B"/>
    <w:rsid w:val="00C70667"/>
    <w:rsid w:val="00C71107"/>
    <w:rsid w:val="00C80FD9"/>
    <w:rsid w:val="00C812BB"/>
    <w:rsid w:val="00C82BF9"/>
    <w:rsid w:val="00C834A2"/>
    <w:rsid w:val="00C85860"/>
    <w:rsid w:val="00C866E2"/>
    <w:rsid w:val="00C87713"/>
    <w:rsid w:val="00C90AFC"/>
    <w:rsid w:val="00C90E28"/>
    <w:rsid w:val="00C91DAC"/>
    <w:rsid w:val="00C9249A"/>
    <w:rsid w:val="00C94958"/>
    <w:rsid w:val="00C9672F"/>
    <w:rsid w:val="00CA1279"/>
    <w:rsid w:val="00CA15D8"/>
    <w:rsid w:val="00CA5C27"/>
    <w:rsid w:val="00CA61C1"/>
    <w:rsid w:val="00CA73C0"/>
    <w:rsid w:val="00CA7525"/>
    <w:rsid w:val="00CB75DD"/>
    <w:rsid w:val="00CC019C"/>
    <w:rsid w:val="00CC33C7"/>
    <w:rsid w:val="00CC3439"/>
    <w:rsid w:val="00CC3FFB"/>
    <w:rsid w:val="00CC44E4"/>
    <w:rsid w:val="00CD59A2"/>
    <w:rsid w:val="00CD730E"/>
    <w:rsid w:val="00CE0698"/>
    <w:rsid w:val="00CE0F65"/>
    <w:rsid w:val="00CE38FE"/>
    <w:rsid w:val="00CE410B"/>
    <w:rsid w:val="00CF0AC5"/>
    <w:rsid w:val="00CF0EF1"/>
    <w:rsid w:val="00CF48EB"/>
    <w:rsid w:val="00CF651E"/>
    <w:rsid w:val="00CF6A3C"/>
    <w:rsid w:val="00D0769B"/>
    <w:rsid w:val="00D077FF"/>
    <w:rsid w:val="00D07889"/>
    <w:rsid w:val="00D07EA7"/>
    <w:rsid w:val="00D104E2"/>
    <w:rsid w:val="00D20050"/>
    <w:rsid w:val="00D20DD0"/>
    <w:rsid w:val="00D22AB7"/>
    <w:rsid w:val="00D316C5"/>
    <w:rsid w:val="00D32425"/>
    <w:rsid w:val="00D325EA"/>
    <w:rsid w:val="00D333B0"/>
    <w:rsid w:val="00D3619D"/>
    <w:rsid w:val="00D40ED7"/>
    <w:rsid w:val="00D415C8"/>
    <w:rsid w:val="00D4407E"/>
    <w:rsid w:val="00D45B96"/>
    <w:rsid w:val="00D462F8"/>
    <w:rsid w:val="00D52D4B"/>
    <w:rsid w:val="00D601B8"/>
    <w:rsid w:val="00D625EB"/>
    <w:rsid w:val="00D63469"/>
    <w:rsid w:val="00D70BCB"/>
    <w:rsid w:val="00D711E7"/>
    <w:rsid w:val="00D71822"/>
    <w:rsid w:val="00D74164"/>
    <w:rsid w:val="00D7430A"/>
    <w:rsid w:val="00D75961"/>
    <w:rsid w:val="00D76BF0"/>
    <w:rsid w:val="00D8090D"/>
    <w:rsid w:val="00D837E1"/>
    <w:rsid w:val="00D86D1B"/>
    <w:rsid w:val="00D87631"/>
    <w:rsid w:val="00D87F04"/>
    <w:rsid w:val="00D9349A"/>
    <w:rsid w:val="00DA2EA9"/>
    <w:rsid w:val="00DB426D"/>
    <w:rsid w:val="00DB43B8"/>
    <w:rsid w:val="00DB7D63"/>
    <w:rsid w:val="00DC18FD"/>
    <w:rsid w:val="00DC1D59"/>
    <w:rsid w:val="00DC23EC"/>
    <w:rsid w:val="00DC370D"/>
    <w:rsid w:val="00DC5829"/>
    <w:rsid w:val="00DC6CB8"/>
    <w:rsid w:val="00DD08A2"/>
    <w:rsid w:val="00DD08E9"/>
    <w:rsid w:val="00DD4183"/>
    <w:rsid w:val="00DD4610"/>
    <w:rsid w:val="00DE0186"/>
    <w:rsid w:val="00DE2681"/>
    <w:rsid w:val="00DE27AE"/>
    <w:rsid w:val="00DE4005"/>
    <w:rsid w:val="00DE64BA"/>
    <w:rsid w:val="00DE6C9D"/>
    <w:rsid w:val="00DE7986"/>
    <w:rsid w:val="00E01249"/>
    <w:rsid w:val="00E0497D"/>
    <w:rsid w:val="00E05038"/>
    <w:rsid w:val="00E06A3F"/>
    <w:rsid w:val="00E07667"/>
    <w:rsid w:val="00E10787"/>
    <w:rsid w:val="00E11F31"/>
    <w:rsid w:val="00E13056"/>
    <w:rsid w:val="00E139D6"/>
    <w:rsid w:val="00E166FF"/>
    <w:rsid w:val="00E169C8"/>
    <w:rsid w:val="00E211B3"/>
    <w:rsid w:val="00E22DA0"/>
    <w:rsid w:val="00E25047"/>
    <w:rsid w:val="00E2525C"/>
    <w:rsid w:val="00E25B80"/>
    <w:rsid w:val="00E27D92"/>
    <w:rsid w:val="00E320B8"/>
    <w:rsid w:val="00E35C62"/>
    <w:rsid w:val="00E35E90"/>
    <w:rsid w:val="00E36E36"/>
    <w:rsid w:val="00E37BA5"/>
    <w:rsid w:val="00E423AC"/>
    <w:rsid w:val="00E47B81"/>
    <w:rsid w:val="00E47F28"/>
    <w:rsid w:val="00E52BFB"/>
    <w:rsid w:val="00E5608E"/>
    <w:rsid w:val="00E65FAF"/>
    <w:rsid w:val="00E66858"/>
    <w:rsid w:val="00E72A66"/>
    <w:rsid w:val="00E75719"/>
    <w:rsid w:val="00E757D8"/>
    <w:rsid w:val="00E81931"/>
    <w:rsid w:val="00E83C87"/>
    <w:rsid w:val="00E84421"/>
    <w:rsid w:val="00E8677E"/>
    <w:rsid w:val="00E92D08"/>
    <w:rsid w:val="00E938C3"/>
    <w:rsid w:val="00E94D25"/>
    <w:rsid w:val="00EA1116"/>
    <w:rsid w:val="00EA114F"/>
    <w:rsid w:val="00EA3060"/>
    <w:rsid w:val="00EB1E1C"/>
    <w:rsid w:val="00EB2058"/>
    <w:rsid w:val="00EB2384"/>
    <w:rsid w:val="00EB2F2F"/>
    <w:rsid w:val="00EB30DD"/>
    <w:rsid w:val="00EB367A"/>
    <w:rsid w:val="00EB4357"/>
    <w:rsid w:val="00EB61A0"/>
    <w:rsid w:val="00EB66F5"/>
    <w:rsid w:val="00EB75F5"/>
    <w:rsid w:val="00EC4E5A"/>
    <w:rsid w:val="00EC5221"/>
    <w:rsid w:val="00EC7355"/>
    <w:rsid w:val="00ED023D"/>
    <w:rsid w:val="00ED2B8F"/>
    <w:rsid w:val="00ED2D17"/>
    <w:rsid w:val="00ED45E0"/>
    <w:rsid w:val="00ED639E"/>
    <w:rsid w:val="00ED66AE"/>
    <w:rsid w:val="00EE0985"/>
    <w:rsid w:val="00EE1E09"/>
    <w:rsid w:val="00EE34B3"/>
    <w:rsid w:val="00EE389C"/>
    <w:rsid w:val="00EF0181"/>
    <w:rsid w:val="00EF1079"/>
    <w:rsid w:val="00EF1AA7"/>
    <w:rsid w:val="00EF2E13"/>
    <w:rsid w:val="00EF7438"/>
    <w:rsid w:val="00F01897"/>
    <w:rsid w:val="00F11E11"/>
    <w:rsid w:val="00F12B8C"/>
    <w:rsid w:val="00F15AC1"/>
    <w:rsid w:val="00F17F6F"/>
    <w:rsid w:val="00F21F38"/>
    <w:rsid w:val="00F238E2"/>
    <w:rsid w:val="00F24297"/>
    <w:rsid w:val="00F30115"/>
    <w:rsid w:val="00F30F52"/>
    <w:rsid w:val="00F3165B"/>
    <w:rsid w:val="00F3266E"/>
    <w:rsid w:val="00F4481D"/>
    <w:rsid w:val="00F51C36"/>
    <w:rsid w:val="00F52DD1"/>
    <w:rsid w:val="00F578C9"/>
    <w:rsid w:val="00F61054"/>
    <w:rsid w:val="00F647F0"/>
    <w:rsid w:val="00F64BE3"/>
    <w:rsid w:val="00F71096"/>
    <w:rsid w:val="00F74844"/>
    <w:rsid w:val="00F759AE"/>
    <w:rsid w:val="00F764EE"/>
    <w:rsid w:val="00F77692"/>
    <w:rsid w:val="00F858CA"/>
    <w:rsid w:val="00F906AA"/>
    <w:rsid w:val="00F979EB"/>
    <w:rsid w:val="00FA1516"/>
    <w:rsid w:val="00FA232C"/>
    <w:rsid w:val="00FA3251"/>
    <w:rsid w:val="00FA42F5"/>
    <w:rsid w:val="00FA5E94"/>
    <w:rsid w:val="00FB391B"/>
    <w:rsid w:val="00FB3B6C"/>
    <w:rsid w:val="00FC1538"/>
    <w:rsid w:val="00FC2726"/>
    <w:rsid w:val="00FC75FA"/>
    <w:rsid w:val="00FD46A8"/>
    <w:rsid w:val="00FD56A9"/>
    <w:rsid w:val="00FD7530"/>
    <w:rsid w:val="00FE35D2"/>
    <w:rsid w:val="00FE4261"/>
    <w:rsid w:val="00FF0939"/>
    <w:rsid w:val="00FF3501"/>
    <w:rsid w:val="00FF3AFB"/>
    <w:rsid w:val="00FF47EB"/>
    <w:rsid w:val="00FF5C71"/>
    <w:rsid w:val="00FF6E26"/>
    <w:rsid w:val="01342C5F"/>
    <w:rsid w:val="021E3F07"/>
    <w:rsid w:val="05891A41"/>
    <w:rsid w:val="0A262BFA"/>
    <w:rsid w:val="0C256D11"/>
    <w:rsid w:val="0CFC5AAE"/>
    <w:rsid w:val="0DB06D07"/>
    <w:rsid w:val="0F753717"/>
    <w:rsid w:val="0F842D99"/>
    <w:rsid w:val="0FEA14B8"/>
    <w:rsid w:val="11586695"/>
    <w:rsid w:val="18696FCD"/>
    <w:rsid w:val="18FF096C"/>
    <w:rsid w:val="19120467"/>
    <w:rsid w:val="1A295D37"/>
    <w:rsid w:val="1A60753E"/>
    <w:rsid w:val="1AA77D14"/>
    <w:rsid w:val="1B1D41AA"/>
    <w:rsid w:val="1E1D6D6F"/>
    <w:rsid w:val="218D7159"/>
    <w:rsid w:val="28A6364B"/>
    <w:rsid w:val="2B8B3AB7"/>
    <w:rsid w:val="2CB90B11"/>
    <w:rsid w:val="2EF8259B"/>
    <w:rsid w:val="32A45FA2"/>
    <w:rsid w:val="34C5759A"/>
    <w:rsid w:val="34DE4765"/>
    <w:rsid w:val="355B5424"/>
    <w:rsid w:val="355C44EE"/>
    <w:rsid w:val="358B6D7B"/>
    <w:rsid w:val="37A624F4"/>
    <w:rsid w:val="37A8312F"/>
    <w:rsid w:val="38434712"/>
    <w:rsid w:val="3BA71077"/>
    <w:rsid w:val="3BA97A4F"/>
    <w:rsid w:val="3D8A3387"/>
    <w:rsid w:val="3D9E1D6D"/>
    <w:rsid w:val="3E330D26"/>
    <w:rsid w:val="3ECB5081"/>
    <w:rsid w:val="3EFD7EC7"/>
    <w:rsid w:val="3FCD404B"/>
    <w:rsid w:val="465C7373"/>
    <w:rsid w:val="46647EE2"/>
    <w:rsid w:val="46871636"/>
    <w:rsid w:val="4CC11430"/>
    <w:rsid w:val="4DC73CF0"/>
    <w:rsid w:val="4E1137DB"/>
    <w:rsid w:val="4FD420E2"/>
    <w:rsid w:val="50C03B07"/>
    <w:rsid w:val="55C64B14"/>
    <w:rsid w:val="58131E87"/>
    <w:rsid w:val="5A9F5FB5"/>
    <w:rsid w:val="5C1F5325"/>
    <w:rsid w:val="5C6E4BBE"/>
    <w:rsid w:val="5D431030"/>
    <w:rsid w:val="604767A5"/>
    <w:rsid w:val="658A206C"/>
    <w:rsid w:val="675371CD"/>
    <w:rsid w:val="67D53524"/>
    <w:rsid w:val="6AD939DE"/>
    <w:rsid w:val="6EA5310C"/>
    <w:rsid w:val="71E612E6"/>
    <w:rsid w:val="71FA350A"/>
    <w:rsid w:val="73CD7461"/>
    <w:rsid w:val="77543078"/>
    <w:rsid w:val="7851648B"/>
    <w:rsid w:val="7875684A"/>
    <w:rsid w:val="7B0D3006"/>
    <w:rsid w:val="7BA92E05"/>
    <w:rsid w:val="7E7F6495"/>
    <w:rsid w:val="7F201C07"/>
    <w:rsid w:val="7FB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765B8"/>
  <w15:docId w15:val="{80BAAC32-FB8B-4E8A-BE8F-6D0A6844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qFormat/>
    <w:pPr>
      <w:spacing w:after="120"/>
    </w:pPr>
  </w:style>
  <w:style w:type="character" w:styleId="Istaknuto">
    <w:name w:val="Emphasis"/>
    <w:basedOn w:val="Zadanifontodlomka"/>
    <w:uiPriority w:val="20"/>
    <w:qFormat/>
    <w:locked/>
    <w:rPr>
      <w:i/>
      <w:iCs/>
    </w:rPr>
  </w:style>
  <w:style w:type="paragraph" w:styleId="Podnoje">
    <w:name w:val="footer"/>
    <w:basedOn w:val="Normal"/>
    <w:link w:val="PodnojeChar"/>
    <w:uiPriority w:val="99"/>
    <w:semiHidden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Pr>
      <w:b/>
      <w:bCs/>
    </w:rPr>
  </w:style>
  <w:style w:type="table" w:styleId="Reetkatablice">
    <w:name w:val="Table Grid"/>
    <w:basedOn w:val="Obinatablica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9"/>
    <w:qFormat/>
    <w:locked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qFormat/>
    <w:locked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customStyle="1" w:styleId="Odlomakpopisa1">
    <w:name w:val="Odlomak popisa1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qFormat/>
    <w:locked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93B38-F6C7-4560-BFC5-2F06796E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5950</Words>
  <Characters>33917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</vt:lpstr>
    </vt:vector>
  </TitlesOfParts>
  <Company/>
  <LinksUpToDate>false</LinksUpToDate>
  <CharactersWithSpaces>39788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</dc:title>
  <dc:creator>Korisnik</dc:creator>
  <cp:lastModifiedBy>Rosana Milevoj Bembić</cp:lastModifiedBy>
  <cp:revision>2</cp:revision>
  <cp:lastPrinted>2022-01-13T11:40:00Z</cp:lastPrinted>
  <dcterms:created xsi:type="dcterms:W3CDTF">2025-01-02T11:04:00Z</dcterms:created>
  <dcterms:modified xsi:type="dcterms:W3CDTF">2025-01-02T11:04:00Z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B01E5407ABCE42398E4D88659270E679</vt:lpwstr>
  </property>
</Properties>
</file>